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13520-2024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entita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entita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2025-05-27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