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1214-2022 i Mönsterås kommun</w:t>
      </w:r>
    </w:p>
    <w:p>
      <w:r>
        <w:t>Detta klagomål behandlar höga naturvärden i samrådsanmälan S 1214-2022 i Mönsterås kommun som inkom 2022-03-02 och omfattar 83,1 ha.</w:t>
      </w:r>
    </w:p>
    <w:p>
      <w:pPr>
        <w:pStyle w:val="Caption"/>
      </w:pPr>
      <w:r>
        <w:drawing>
          <wp:inline xmlns:a="http://schemas.openxmlformats.org/drawingml/2006/main" xmlns:pic="http://schemas.openxmlformats.org/drawingml/2006/picture">
            <wp:extent cx="5029645" cy="5724000"/>
            <wp:docPr id="1" name="Picture 1"/>
            <wp:cNvGraphicFramePr>
              <a:graphicFrameLocks noChangeAspect="1"/>
            </wp:cNvGraphicFramePr>
            <a:graphic>
              <a:graphicData uri="http://schemas.openxmlformats.org/drawingml/2006/picture">
                <pic:pic>
                  <pic:nvPicPr>
                    <pic:cNvPr id="0" name="S 1214-2022 karta.png"/>
                    <pic:cNvPicPr/>
                  </pic:nvPicPr>
                  <pic:blipFill>
                    <a:blip r:embed="rId16"/>
                    <a:stretch>
                      <a:fillRect/>
                    </a:stretch>
                  </pic:blipFill>
                  <pic:spPr>
                    <a:xfrm>
                      <a:off x="0" y="0"/>
                      <a:ext cx="502964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6325082, E 576909 i SWEREF 99 TM.</w:t>
      </w:r>
    </w:p>
    <w:p>
      <w:r>
        <w:t>I och inom 25 meter från samrådsanmälan finns fynd av 22 naturvårdsarter, varav 6 är rödlistade, 13 är fridlysta, 12 är typiska (T) och 9 är signalarter (S): barbastell (NT, §4a), brunlångöra (NT, §4a), nordfladdermus (NT, §4a), nötkråka (NT, T, §4), sydfladdermus (NT, §4a), talltita (NT, §4), blåmossa (S, T), bronshjon (S, T), flagellkvastmossa (S, T), grovticka (S, T), kornknutmossa (S, T), mindre märgborre (S, T), murgröna (S, T), stubbspretmossa (S, T), vågbandad barkbock (S), nattskärra (T, §4), spillkråka (T, §4), tjäder (T, §4), dvärgpipistrell (§4a), gråskimlig fladdermus (§4a), gröngöling (§4)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