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3522-2025 i Mönsterås kommun</w:t>
      </w:r>
    </w:p>
    <w:p>
      <w:r>
        <w:t>Denna tillsynsbegäran behandlar höga naturvärden i samrådsanmälan S 3522-2025 i Mönsterås kommun som inkom 2025-12-17 och omfattar 2,4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S 3522-2025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6309142, E 586728 i SWEREF 99 TM.</w:t>
      </w:r>
    </w:p>
    <w:p>
      <w:r>
        <w:t>I och inom 24 meter från samrådsanmälan finns fynd av 8 naturvårdsarter, varav 5 är rödlistade, 3 är typiska (T) och 3 är signalarter (S): Notolaemus unifasciatus (VU), ekmulmbagge (NT), ekticka (NT, T), hjälmbrosklav (NT), Manda mandibularis (NT), gulnål (S, T), sotlav (S, T) och tvåfläckig praktbagge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i/>
        </w:rPr>
        <w:t xml:space="preserve">Notolaemus unifasciatus </w:t>
      </w:r>
      <w:r>
        <w:rPr>
          <w:b/>
        </w:rPr>
        <w:t>(VU)</w:t>
      </w:r>
      <w:r>
        <w:t xml:space="preserve"> är en skalbagge vars larvutveckling sker under lös bark på döda grenar och stammar av lövträd, i Sverige främst ek och bok, i Centraleuropa även björk och asp. Arten är bl.a. funnen i gångsystem av eksplintborre. Bevara ädellövskogsbestånd och undvik att utnyttja ekavfall för flisframställning (SLU Artdatabanken, 2025).</w:t>
      </w:r>
    </w:p>
    <w:p>
      <w:r>
        <w:rPr>
          <w:b/>
        </w:rPr>
        <w:t xml:space="preserve">Ekmulmbagge (NT) </w:t>
      </w:r>
      <w:r>
        <w:t>är en skalbagge vars larvutveckling sker i fuktig mycelhaltig, brunrötad ved eller mulm i gamla, gärna ihåliga lövträd. Främst i ek och bok men även i andra lövträd som lind, körsbär och viden. Fullbildade individer kan också påträffas i trädsvampar, t.ex. svavelticka (</w:t>
      </w:r>
      <w:r>
        <w:rPr>
          <w:i/>
        </w:rPr>
        <w:t>Laetiporus sulphureus</w:t>
      </w:r>
      <w:r>
        <w:t>) på ek. Arten påverkas negativt av brist på grova eller gamla träd. En minskning av populationen pågår eller förväntas ske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