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3528-2025 i Mönsterås kommun</w:t>
      </w:r>
    </w:p>
    <w:p>
      <w:r>
        <w:t>Denna tillsynsbegäran behandlar höga naturvärden i samrådsanmälan S 3528-2025 i Mönsterås kommun som inkom 2025-12-17 och omfattar 58,6 ha.</w:t>
      </w:r>
    </w:p>
    <w:p>
      <w:pPr>
        <w:pStyle w:val="Caption"/>
      </w:pPr>
      <w:r>
        <w:drawing>
          <wp:inline xmlns:a="http://schemas.openxmlformats.org/drawingml/2006/main" xmlns:pic="http://schemas.openxmlformats.org/drawingml/2006/picture">
            <wp:extent cx="4688106" cy="5724000"/>
            <wp:docPr id="1" name="Picture 1"/>
            <wp:cNvGraphicFramePr>
              <a:graphicFrameLocks noChangeAspect="1"/>
            </wp:cNvGraphicFramePr>
            <a:graphic>
              <a:graphicData uri="http://schemas.openxmlformats.org/drawingml/2006/picture">
                <pic:pic>
                  <pic:nvPicPr>
                    <pic:cNvPr id="0" name="S 3528-2025 karta.png"/>
                    <pic:cNvPicPr/>
                  </pic:nvPicPr>
                  <pic:blipFill>
                    <a:blip r:embed="rId16"/>
                    <a:stretch>
                      <a:fillRect/>
                    </a:stretch>
                  </pic:blipFill>
                  <pic:spPr>
                    <a:xfrm>
                      <a:off x="0" y="0"/>
                      <a:ext cx="4688106"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6307486, E 588812 i SWEREF 99 TM.</w:t>
      </w:r>
    </w:p>
    <w:p>
      <w:r>
        <w:t>I och inom 20 meter från samrådsanmälan finns fynd av 69 naturvårdsarter, varav 48 är rödlistade, 48 är fridlysta, 11 är typiska (T) och 3 är signalarter (S): ejder (EN, §4), havstrut (EN, §4), backsippa (VU, §8), bergand (VU, §4), gråtrut (VU, §4), grönfink (VU, §4), knärot (VU, T, §8), pilgrimsfalk (VU, §4), rödsäv (VU), sexfläckig bastardsvärmare (VU), stare (VU, §4), tofsvipa (VU, §4), tårticka (VU, T), adam och eva (NT, §8), axveronika (NT), backtimjan (NT), björktrast (NT, §4), bläsand (NT, §4), drillsnäppa (NT, §4), duvhök (NT, §4), ekticka (NT, T), entita (NT, T, §4), flentimotej (NT), gammelekslav (NT, T), gravand (NT, §4), grönsångare (NT, §4), gulsparv (NT, §4), jungfrulin (NT), järnsparv (NT, §4), korskovall (NT), krusfrö (NT), kungsfiskare (NT, §4), matt pricklav (NT), mindre hackspett (NT, T, §4), rosenfink (NT, §4), rörsångare (NT, §4), skrattmås (NT, §4), skräntärna (NT, §4), strandnarv (NT), strandskata (NT, §4), svart skogssnigel (NT), sädesärla (NT, §4), tallticka (NT, T), talltita (NT, §4), vinterhämpling (NT, §4), vårstarr (NT), ägretthäger (NT, §4), ängsskära (NT), grå skärelav (S), guldlockmossa (S, T), gulnål (S, T), spillkråka (T, §4), sälgsandbi (T), gröngöling (§4), grönsiska (§4), havsörn (§4), kråka (§4), kungsfågel (§4), näktergal (§4), salskrake (§4), större vattensalamander (§4a), sävsparv (§4), sångsvan (§4), trana (§4), törnskata (§4), ärtsångare (§4), kopparödla (§6), grönvit nattviol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208125"/>
            <wp:docPr id="2" name="Picture 2"/>
            <wp:cNvGraphicFramePr>
              <a:graphicFrameLocks noChangeAspect="1"/>
            </wp:cNvGraphicFramePr>
            <a:graphic>
              <a:graphicData uri="http://schemas.openxmlformats.org/drawingml/2006/picture">
                <pic:pic>
                  <pic:nvPicPr>
                    <pic:cNvPr id="0" name="S 3528-2025 karta knärot.png"/>
                    <pic:cNvPicPr/>
                  </pic:nvPicPr>
                  <pic:blipFill>
                    <a:blip r:embed="rId17"/>
                    <a:stretch>
                      <a:fillRect/>
                    </a:stretch>
                  </pic:blipFill>
                  <pic:spPr>
                    <a:xfrm>
                      <a:off x="0" y="0"/>
                      <a:ext cx="5486400" cy="420812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6307486, E 588812 i SWEREF 99 TM.</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Sälgsandbi </w:t>
      </w:r>
      <w:r>
        <w:t xml:space="preserve">är typisk art för </w:t>
      </w:r>
      <w:r>
        <w:rPr>
          <w:i/>
        </w:rPr>
        <w:t>9060 Åsbarrskog</w:t>
      </w:r>
      <w:r>
        <w:t>.</w:t>
      </w:r>
      <w:r>
        <w:rPr>
          <w:i/>
        </w:rPr>
        <w:t xml:space="preserve"> </w:t>
      </w:r>
      <w:r>
        <w:t>Sälgsandbiet boparasiteras av sälggökbi</w:t>
      </w:r>
      <w:r>
        <w:rPr>
          <w:i/>
        </w:rPr>
        <w:t xml:space="preserve">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tårticka (VU, T), ekticka (NT, T), entita (NT, T, §4), gammelekslav (NT, T), mindre hackspett (NT, T, §4), tallticka (NT, T), guldlockmossa (S, T), gulnål (S, T), spillkråka (T, §4) och sälgsandbi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