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654-2025 i Mönsterås kommun</w:t>
      </w:r>
    </w:p>
    <w:p>
      <w:r>
        <w:t>Denna tillsynsbegäran behandlar höga naturvärden i samrådsanmälan S 654-2025 i Mönsterås kommun som inkom 2025-02-27 och omfattar 3,3 ha.</w:t>
      </w:r>
    </w:p>
    <w:p>
      <w:pPr>
        <w:pStyle w:val="Caption"/>
      </w:pPr>
      <w:r>
        <w:drawing>
          <wp:inline xmlns:a="http://schemas.openxmlformats.org/drawingml/2006/main" xmlns:pic="http://schemas.openxmlformats.org/drawingml/2006/picture">
            <wp:extent cx="5486400" cy="4651930"/>
            <wp:docPr id="1" name="Picture 1"/>
            <wp:cNvGraphicFramePr>
              <a:graphicFrameLocks noChangeAspect="1"/>
            </wp:cNvGraphicFramePr>
            <a:graphic>
              <a:graphicData uri="http://schemas.openxmlformats.org/drawingml/2006/picture">
                <pic:pic>
                  <pic:nvPicPr>
                    <pic:cNvPr id="0" name="S 654-2025 karta.png"/>
                    <pic:cNvPicPr/>
                  </pic:nvPicPr>
                  <pic:blipFill>
                    <a:blip r:embed="rId16"/>
                    <a:stretch>
                      <a:fillRect/>
                    </a:stretch>
                  </pic:blipFill>
                  <pic:spPr>
                    <a:xfrm>
                      <a:off x="0" y="0"/>
                      <a:ext cx="5486400" cy="4651930"/>
                    </a:xfrm>
                    <a:prstGeom prst="rect"/>
                  </pic:spPr>
                </pic:pic>
              </a:graphicData>
            </a:graphic>
          </wp:inline>
        </w:drawing>
      </w:r>
    </w:p>
    <w:p>
      <w:pPr>
        <w:pStyle w:val="Caption"/>
        <w:spacing w:after="240"/>
      </w:pPr>
      <w:r>
        <w:t>Figur 1. Fyndplatser för naturvårdsarter i och inom 4 meter från samrådsanmälan. Markörer utan svart kant är placerade på fyndplatsen. Markörer med svart kant är placerade vid sidan av fyndplatsen och har ett svart streck som visar fyndplatsens exakta position. Kartans mittpunktskoordinat är N 6312299, E 584970 i SWEREF 99 TM.</w:t>
      </w:r>
    </w:p>
    <w:p>
      <w:r>
        <w:t>I och inom 4 meter från samrådsanmälan finns fynd av 25 naturvårdsarter, varav 11 är rödlistade, 9 är fridlysta, 9 är typiska (T) och 8 är signalarter (S): brokig barksvartbagge (VU), Colydium filiforme (VU), läderbagge (VU, §4a), blekticka (NT, T), ekticka (NT, T), epålettknäppare (NT), gammelekslav (NT, T), gul dropplav (NT), oxtungssvamp (NT), rutskinn (NT, T), sädesärla (NT, §4), dolkstekelsglasvinge (S), Dorcatoma chrysomelina (S), ekoxe (S, §6), grå skärelav (S), guldlockmossa (S, T), gulnål (S, T), rostfläck (S, T), tvåfläckig praktbagge (S), nattskärra (T, §4), spillkråka (T, §4), fiskgjuse (§4), havsörn (§4), röd glada (§4) och gullviva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Brokig barksvartbagge (VU)</w:t>
      </w:r>
      <w:r>
        <w:t xml:space="preserve"> är en skalbagge vars larvutveckling sker i gångar av olika vedinsekter i svampig ved av lövträd, främst på gamla ekar med angrepp av skeppsvarvsfluga (NT). Arten påverkas negativt av brist på grova eller gamla träd och en minskning av populationen pågår eller förväntas ske. Brokig barksvartbagge är rödlistad som nära hotad (NT) på den europeiska rödlistan vilket medför ett internationellt ansvar för arten (SLU Artdatabanken, 2026; IUCN, 2017).</w:t>
      </w:r>
    </w:p>
    <w:p>
      <w:r>
        <w:rPr>
          <w:b/>
          <w:i/>
        </w:rPr>
        <w:t>Colydium filiforme</w:t>
      </w:r>
      <w:r>
        <w:rPr>
          <w:b/>
        </w:rPr>
        <w:t xml:space="preserve"> (VU)</w:t>
      </w:r>
      <w:r>
        <w:t xml:space="preserve"> är en skalbagge vars larvutveckling sker i gångar av barkborrar och andra insekter i död, barklös solexponerad ved av lövträd, såvitt känt endast ek. Såväl i stående som liggande grov ekved, liksom i döda stampartier på levande gammelekar. I Sverige främst i gångar av skeppsvarvsfluga (NT), i Centraleuropa även i gångar av trägnagare. Fullbildade individer uppträder under sommaren från maj till början av augusti på lämplig ved, både dagtid och nattetid vid varmt och fuktigt väder. Bevara gamla ekbestånd och säkerställ en framtida kontinuitet av lämpliga träd. Friställ ekar i igenväxande hagmarker. I parker måste man tolerera att gamla, stamskadade ekar får stå kvar och hellre styra om gång- och cykelvägar så att ej faran med nedfallande grenar blir anledning till att träden tas bort (SLU Artdatabanken, 2026).</w:t>
      </w:r>
    </w:p>
    <w:p>
      <w:r>
        <w:rPr>
          <w:b/>
        </w:rPr>
        <w:t>Läderbagge (VU, §4a)</w:t>
      </w:r>
      <w:r>
        <w:t xml:space="preserve"> är strikt skyddad enligt EU:s art- och habitatdirektiv vilket innebär att hela dess livsmiljö med ekar i alla åldrar behöver bevaras för artens långsiktiga överlevnad i landskapet. Läderbaggens larvutveckling sker i trädhåligheter med mulm i grova ihåliga lövträd, där larven lever av den omgivande, fastare döda veden. I Sverige främst i ek, men även i ask, bok, lind, klibbal, hästkastanj, alm, apel och asp. Läderbaggen påverkar livsmiljön för andra arter genom att utvidga håligheter, öka mängden mulm och höja kvävehalten i mulmen. I stamhåligheter med läderbagge förekommer ofta en rad andra rödlistade arter. Läderbagge är globalt rödlistad som nära hotad (NT) vilket innebär att Sverige har ett internationellt ansvar för arten (IUCN, 2025; SLU Artdatabanken, 2021; Nilsson m.fl. 2002).</w:t>
      </w:r>
    </w:p>
    <w:p>
      <w:r>
        <w:rPr>
          <w:b/>
        </w:rPr>
        <w:t>Blekticka (NT)</w:t>
      </w:r>
      <w:r>
        <w:t xml:space="preserve"> är en bra signalart som visar på gamla ekar och skogsområden med höga naturvärden. Arten missgynnas av avverkning av värdträd och passande värdträd runt fyndplatserna. Den hotas på sikt av att ekbestånd ersätts med andra trädslag eller spontant invaderas av gran. Blekticka är typisk art för </w:t>
      </w:r>
      <w:r>
        <w:rPr>
          <w:i/>
        </w:rPr>
        <w:t>9160 Näringsrik ekskog</w:t>
      </w:r>
      <w:r>
        <w:t xml:space="preserve"> och </w:t>
      </w:r>
      <w:r>
        <w:rPr>
          <w:i/>
        </w:rPr>
        <w:t>9190 Näringsfattig ekskog</w:t>
      </w:r>
      <w:r>
        <w:t xml:space="preserve"> (SLU Artdatabanken, 2024; Nitare &amp; Skogsstyrelsen, 2019).</w:t>
      </w:r>
    </w:p>
    <w:p>
      <w:r>
        <w:rPr>
          <w:b/>
        </w:rPr>
        <w:t>Ekticka (NT)</w:t>
      </w:r>
      <w:r>
        <w:t xml:space="preserve"> påträffas i löv- och blandskog och hagmark där den växer på levande oftast äldre eller senvuxna ekar. Minskningstakten för den svenska populationen har uppgått till 15 % under de senaste 50 åren och bedöms vara nära gränsvärdet för Sårbar (VU). Ekticka är typisk art för </w:t>
      </w:r>
      <w:r>
        <w:rPr>
          <w:i/>
        </w:rPr>
        <w:t xml:space="preserve">9020 Nordlig ädellövskog </w:t>
      </w:r>
      <w:r>
        <w:t>(SLU Artdatabanken, 2025).</w:t>
      </w:r>
    </w:p>
    <w:p>
      <w:r>
        <w:rPr>
          <w:b/>
        </w:rPr>
        <w:t xml:space="preserve">Epålettknäppare (NT) </w:t>
      </w:r>
      <w:r>
        <w:t>är en skalbagge vars larvutveckling sker under mossa och bark eller i murken ved i grenar och stammar av grova, ofta levande lövträd, ej sällan i det inre av ihåliga träd. Främst på ek men även ask, alm, lind och lönn och asp. Arten hotas av avverkning av gamla träd i parker, allér eller hagmarker. Grova träd i hagmarker, alléer och parker bör lämnas i så stor utsträckning som möjligt. En långsiktig planering för att rekrytera träd i yngre generationer till att bli framtida utvecklingsträd på en del av lokalerna är också av stor vikt (SLU Artdatabanken, 2025).</w:t>
      </w:r>
    </w:p>
    <w:p>
      <w:r>
        <w:rPr>
          <w:b/>
        </w:rPr>
        <w:t xml:space="preserve">Gammelekslav (NT) </w:t>
      </w:r>
      <w:r>
        <w:t>är en mycket exklusiv lav som</w:t>
      </w:r>
      <w:r>
        <w:rPr>
          <w:b/>
        </w:rPr>
        <w:t xml:space="preserve"> </w:t>
      </w:r>
      <w:r>
        <w:t xml:space="preserve">växer på grova ekar i halvöppet läge med hög luftfuktighet. Lämpliga ekar nyskapas i mycket begränsad omfattning. Arten är placerad högst upp i Skogsstyrelsens värdepyramid för bedömning av skog med höga naturvärden. Håll öppet kring ekjättarnas ömtåliga och konkurrenskänsliga kronor. Särskilt rika lokaler med gammelekslav måste skyddas. Gammelekslav är typisk art för </w:t>
      </w:r>
      <w:r>
        <w:rPr>
          <w:i/>
        </w:rPr>
        <w:t xml:space="preserve">9160 Näringsrik ekskog </w:t>
      </w:r>
      <w:r>
        <w:t xml:space="preserve">och </w:t>
      </w:r>
      <w:r>
        <w:rPr>
          <w:i/>
        </w:rPr>
        <w:t>9070 Trädklädd betesmark</w:t>
      </w:r>
      <w:r>
        <w:t xml:space="preserve"> (SLU Artdatabanken, 2024; Nitare &amp; Skogsstyrelsen, 2019).</w:t>
      </w:r>
    </w:p>
    <w:p>
      <w:r>
        <w:rPr>
          <w:b/>
        </w:rPr>
        <w:t xml:space="preserve">Gul dropplav (NT) </w:t>
      </w:r>
      <w:r>
        <w:t>växer praktiskt taget enbart på gamla, grova ekar i öppna till halvöppna miljöer som glesa ekhagar och lövängar. Antalet gamla grova ekar har minskat och det är viktigt att hålla öppet kring stammar och kronor på grova ekar (SLU Artdatabanken, 2024).</w:t>
      </w:r>
    </w:p>
    <w:p>
      <w:r>
        <w:rPr>
          <w:b/>
        </w:rPr>
        <w:t>Oxtungssvamp (NT)</w:t>
      </w:r>
      <w:r>
        <w:t xml:space="preserve"> växer nästan uteslutande på flerhundraåriga jätteekar i kulturlandskapet, till exempel i ekhagar och vid vägkanter, men kan även leva kvar på dess träd i mer slutna bestånd. Arten hotas av avverkning av värdträd och passande värdträd runt fyndplatserna samt av att olikåldriga bestånd med grov ek i hagmarks- och skogsmiljö avverkas (SLU Artdatabanken, 2024; Nitare &amp; Skogsstyrelsen, 2019).</w:t>
      </w:r>
    </w:p>
    <w:p>
      <w:r>
        <w:rPr>
          <w:b/>
        </w:rPr>
        <w:t>Rutskinn (NT)</w:t>
      </w:r>
      <w:r>
        <w:t xml:space="preserve"> är en relativt sällsynt art som växer främst på gammal grov ek och nedfallna grenar av ek, framför allt i ekhagar, men ibland även i mera sluten ädellöv- och blandskog. För att gynna arten måste hagmarker och ädellövskog med grova ekar skyddas och skötas så att en olikåldrig struktur gynnas och de gamla träden får ersättare när de dör. Rutskinn är typisk art för </w:t>
      </w:r>
      <w:r>
        <w:rPr>
          <w:i/>
        </w:rPr>
        <w:t xml:space="preserve">9020 Nordlig ädellövskog, 9160 Näringsrik ekskog </w:t>
      </w:r>
      <w:r>
        <w:t>och</w:t>
      </w:r>
      <w:r>
        <w:rPr>
          <w:i/>
        </w:rPr>
        <w:t xml:space="preserve"> 9190 Näringsfattig ekskog</w:t>
      </w:r>
      <w:r>
        <w:t xml:space="preserve"> (SLU Artdatabanken, 2024; Nitare &amp; Skogsstyrelsen, 2019).</w:t>
      </w:r>
    </w:p>
    <w:p>
      <w:r>
        <w:rPr>
          <w:b/>
        </w:rPr>
        <w:t xml:space="preserve">Ekoxe (§6) </w:t>
      </w:r>
      <w:r>
        <w:t>omfattas av EU:s art- och habitatdirektiv och är fridlyst enligt 6 § artskyddsförordningen.</w:t>
      </w:r>
      <w:r>
        <w:rPr>
          <w:b/>
        </w:rPr>
        <w:t xml:space="preserve"> </w:t>
      </w:r>
      <w:r>
        <w:t>Dess larvutveckling sker i och vid stubbar, i lågor med markkontakt och grövre döda rötter av olika lövträd, även i döda rotdelar på levande träd. I Sverige främst funnen i ek men även några gånger i bok, hassel, ask och björk. Arten lever främst i halvöppna miljöer såsom trädklädda hagmarker eller gles skog, gärna i sydsluttningar. Arten påverkas negativt av brist på grova eller gamla träd och det föreligger indikation på eller misstanke om populationsminskning. Minskningen avser kvalitén på artens habitat (SLU Artdatabanken, 2025).</w:t>
      </w:r>
    </w:p>
    <w:p>
      <w:r>
        <w:rPr>
          <w:b/>
        </w:rPr>
        <w:t>Grå skärelav</w:t>
      </w:r>
      <w:r>
        <w:t xml:space="preserve"> växer på barken av mycket gamla och grova jätteekar i halvöppet eller öppet läge. Sverige har ett stort internationellt ansvar att bevara dessa grova ekjättar och det är viktigt att hålla öppet kring deras konkurrenskänsliga kronor. Arten följs ofta av ett stort antal rödlistade lavar varför särskilt rika lokaler med grå skärelav bör skyddas. Grå skärelav är typisk art för </w:t>
      </w:r>
      <w:r>
        <w:rPr>
          <w:i/>
        </w:rPr>
        <w:t>9070 Trädklädd betesmark</w:t>
      </w:r>
      <w:r>
        <w:t xml:space="preserve"> och </w:t>
      </w:r>
      <w:r>
        <w:rPr>
          <w:i/>
        </w:rPr>
        <w:t>6530 Lövängar</w:t>
      </w:r>
      <w:r>
        <w:t xml:space="preserve"> (SLU Artdatabanken, 2024; Nitare &amp; Skogsstyrelsen, 2019).</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 xml:space="preserve">Rostfläck </w:t>
      </w:r>
      <w:r>
        <w:t xml:space="preserve">signalerar framför allt höga naturvärden i östra Sverige samt norr om den naturliga norrlandsgränsen. Arten indikerar här skogsmiljöer som under lång tid haft ett konstant fuktigt mikroklimat. Rika förekomster i Norrland visar sannolikt på bestånd med långvarig kontinuitet av gamla träd. När laven påträffas i alkärr signalerar den höga naturvärden inom hela sitt utbredningsområde. Rostfläck är typisk art för </w:t>
      </w:r>
      <w:r>
        <w:rPr>
          <w:i/>
        </w:rPr>
        <w:t xml:space="preserve">9190 Näringsfattig ekskog </w:t>
      </w:r>
      <w:r>
        <w:t>(Nitare &amp; Skogsstyrelsen, 2019; SLU Artdatabanken, 2025).</w:t>
      </w:r>
    </w:p>
    <w:p>
      <w:r>
        <w:rPr>
          <w:b/>
        </w:rPr>
        <w:t>Nattskärra (§4)</w:t>
      </w:r>
      <w:r>
        <w:t xml:space="preserve"> hör i ett historiskt perspektiv hemma i utmarkernas glesa, betade skogar, på ljunghedar och brandfält, tallmoar och i anslutning till torra naturbetesmarker i gränsen mot skogen. Numera påträffas arten i första hand i glesa tallskogar på hällmarker, sandfält och kring högmossar. Uppträder ofta i anslutning till hyggen. Hemområdet för häckande nattskärror är enligt brittiska studier 50–200 hektar, men det förekommer att nattskärror flyger över 5 kilometer för att födosöka i särskilt insektsrika miljöer. Nattskärra är fridlyst enligt 4§ artskyddsförordningen, omfattas av bilaga 1 EU:s fågeldirektiv och är typisk art för </w:t>
      </w:r>
      <w:r>
        <w:rPr>
          <w:i/>
        </w:rPr>
        <w:t>9010 Taiga</w:t>
      </w:r>
      <w:r>
        <w:t xml:space="preserve"> (Skogsstyrelsen, 2016;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Fiskgjuse (§4)</w:t>
      </w:r>
      <w:r>
        <w:t xml:space="preserve"> är fridlyst enligt 4§ artskyddsförordningen och upptagen i bilaga 1 EU:s fågeldirektiv. Den bygger vanligen sitt stora risbo i toppen av en plattkronad, kraftig tall (&gt;90%) med utsikt över omgivningen. Skogsavverkningar utan hänsyn till bevarandet av fiskgjusens boträd och häckningsbiotop utgör en fara genom att tillgången på lämpliga träd minskar. Lämna en skyddszon kring boplatser vid avverkning eller gallring. Boträdets placering styr behovet av skyddszon vilket måste bedömas från fall till fall, men skyddszonen bör vara tillräckligt bred för att behålla skydd mot insyn, erbjuda lämpliga sittplatser och förhindra att boträdet blåser ner. Avstå från skogsbruksåtgärder i hänsynskrävande miljöer, som på uddar eller öar med äldre skog eller hällmarkstallskog där det häckar fiskgjuse. Gör naturvårdsavsättningar i äldre skog i lämpliga områden för fiskgjuse, t.ex. på uddar och i hällmarksområden (SLU Artdatabanken, 2024; Skogsstyrelsen, 2016).</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r>
        <w:rPr>
          <w:b/>
        </w:rPr>
        <w:t>Röd glada (§4)</w:t>
      </w:r>
      <w:r>
        <w:t xml:space="preserve"> är fridlyst enligt 4§ artskyddsförordningen och upptagen i bilaga 1 EU:s fågeldirektiv. Den häckar gärna i omväxlande landskap med mosaik av öppna marker och skogar. Tidigare studier har visat en förkärlek för att häcka nära sjöar, och häckningsframgången var också högre hos par som häckade nära vatten. Boet läggs i träd, ofta högt och vanligen nära skogsbryn. Missgynnas av skogliga åtgärder som lämnar boet allt för exponerat, främst genom för smala skyddszoner och för omfattande gallring. Lämna en skyddszon kring boplatser vid avverkning eller andra skogliga åtgärder. Bredden på skyddszonen beror på platsen, men som tumregel ska den ska vara så bred att boplatsen inte är väsentligt mer exponerad för insyn än tidigare. Spara samtliga träd med större risbon, även sådana där boet ser obebott ut. Avstå att avverka äldre lövdominerade bestånd, främst i anslutning till öppen jordbruksmark (SLU Artdatabanken, 2024; Skogsstyrelsen, 2016).</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blekticka (NT, T), ekticka (NT, T), gammelekslav (NT, T), rutskinn (NT, T), guldlockmossa (S, T), gulnål (S, T), rostfläck (S, T), nattskärra (T, §4)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