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1703-2024 i Mönsterås kommun</w:t>
      </w:r>
    </w:p>
    <w:p>
      <w:r>
        <w:t>Denna tillsynsbegäran behandlar höga naturvärden i samrådsanmälan S 1703-2024 i Mönsterås kommun som inkom 2024-05-22 och omfattar 30,3 ha.</w:t>
      </w:r>
    </w:p>
    <w:p>
      <w:pPr>
        <w:pStyle w:val="Caption"/>
      </w:pPr>
      <w:r>
        <w:drawing>
          <wp:inline xmlns:a="http://schemas.openxmlformats.org/drawingml/2006/main" xmlns:pic="http://schemas.openxmlformats.org/drawingml/2006/picture">
            <wp:extent cx="5486400" cy="5576897"/>
            <wp:docPr id="1" name="Picture 1"/>
            <wp:cNvGraphicFramePr>
              <a:graphicFrameLocks noChangeAspect="1"/>
            </wp:cNvGraphicFramePr>
            <a:graphic>
              <a:graphicData uri="http://schemas.openxmlformats.org/drawingml/2006/picture">
                <pic:pic>
                  <pic:nvPicPr>
                    <pic:cNvPr id="0" name="S 1703-2024 karta.png"/>
                    <pic:cNvPicPr/>
                  </pic:nvPicPr>
                  <pic:blipFill>
                    <a:blip r:embed="rId16"/>
                    <a:stretch>
                      <a:fillRect/>
                    </a:stretch>
                  </pic:blipFill>
                  <pic:spPr>
                    <a:xfrm>
                      <a:off x="0" y="0"/>
                      <a:ext cx="5486400" cy="5576897"/>
                    </a:xfrm>
                    <a:prstGeom prst="rect"/>
                  </pic:spPr>
                </pic:pic>
              </a:graphicData>
            </a:graphic>
          </wp:inline>
        </w:drawing>
      </w:r>
    </w:p>
    <w:p>
      <w:pPr>
        <w:pStyle w:val="Caption"/>
        <w:spacing w:after="240"/>
      </w:pPr>
      <w:r>
        <w:t>Figur 1. Fyndplatser för naturvårdsarter i och inom 25 meter från samrådsanmälan. Markörer utan svart kant är placerade på fyndplatsen. Markörer med svart kant är placerade vid sidan av fyndplatsen och har ett svart streck som visar fyndplatsens exakta position. Kartans mittpunktskoordinat är N 6312032, E 587760 i SWEREF 99 TM.</w:t>
      </w:r>
    </w:p>
    <w:p>
      <w:r>
        <w:t>I och inom 25 meter från samrådsanmälan finns fynd av 15 naturvårdsarter, varav 8 är rödlistade, 12 är fridlysta, 3 är typiska (T) och 2 är signalarter (S): knärot (VU, T, §8), sydpipistrell (VU, §4a), barbastell (NT, §4a), brunlångöra (NT, §4a), dammfladdermus (NT, §4a), fransfladdermus (NT, §4a), kandelabersvamp (NT, T), nordfladdermus (NT, §4a), grovticka (S, T), grå skärelav (S), dvärgpipistrell (§4a), gråskimlig fladdermus (§4a), större brunfladdermus (§4a), trollpipistrell (§4a) och vattenfladdermus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samrådsanmälda området finns 3 fyndplatser för knärot registrerade på Artportalen. Figur 2 visar gränserna för buffertzoner på 50 m, som behöver lämnas kring fyndplatserna för att knärotslokalerna inte ska försvinna vid en avverkning. Av det samrådsanmälda området överlappar 0.40 ha med buffertzonerna och får av detta skäl inte avverkas.</w:t>
      </w:r>
    </w:p>
    <w:p>
      <w:pPr>
        <w:pStyle w:val="Caption"/>
      </w:pPr>
      <w:r>
        <w:drawing>
          <wp:inline xmlns:a="http://schemas.openxmlformats.org/drawingml/2006/main" xmlns:pic="http://schemas.openxmlformats.org/drawingml/2006/picture">
            <wp:extent cx="5486400" cy="5213023"/>
            <wp:docPr id="2" name="Picture 2"/>
            <wp:cNvGraphicFramePr>
              <a:graphicFrameLocks noChangeAspect="1"/>
            </wp:cNvGraphicFramePr>
            <a:graphic>
              <a:graphicData uri="http://schemas.openxmlformats.org/drawingml/2006/picture">
                <pic:pic>
                  <pic:nvPicPr>
                    <pic:cNvPr id="0" name="S 1703-2024 karta knärot.png"/>
                    <pic:cNvPicPr/>
                  </pic:nvPicPr>
                  <pic:blipFill>
                    <a:blip r:embed="rId17"/>
                    <a:stretch>
                      <a:fillRect/>
                    </a:stretch>
                  </pic:blipFill>
                  <pic:spPr>
                    <a:xfrm>
                      <a:off x="0" y="0"/>
                      <a:ext cx="5486400" cy="5213023"/>
                    </a:xfrm>
                    <a:prstGeom prst="rect"/>
                  </pic:spPr>
                </pic:pic>
              </a:graphicData>
            </a:graphic>
          </wp:inline>
        </w:drawing>
      </w:r>
    </w:p>
    <w:p>
      <w:pPr>
        <w:pStyle w:val="Caption"/>
        <w:spacing w:after="240"/>
      </w:pPr>
      <w:r>
        <w:t>Figur 2. Fyndplatser och buffertzoner för knärot i det samrådsanmälda området. Endast fyndplatser vars buffertzoner överlappar med det samrådsanmälda området har tagits med i visualiseringen. Kartans mittpunktskoordinat är N 6312032, E 587760 i SWEREF 99 TM.</w:t>
      </w:r>
    </w:p>
    <w:p>
      <w:r>
        <w:rPr>
          <w:b/>
        </w:rPr>
        <w:t>Sydpipistrell (VU, §4a)</w:t>
      </w:r>
      <w:r>
        <w:t>, rödlistad som sårbar, omfattas av bilaga 4 EU:s art- och habitatdirektiv vilket innebär att arten och dess livsmiljöer är strikt skyddade. Den förekommer i alla typer av glesare skogar med en preferens för lövskog. Man hittar den i trädbärande beteshagar, i kantzoner mellan skog och odlingsmark, i närheten av vatten och i bymiljöer. Den undviker stora sammanhängande öppna miljöer såsom åkrar och hyggen.  Lövrika bryn med stor insektsproduktion, trädbevuxna hagmarker och glesa lövskogar bör bevaras där arten är funnen (SLU Artdatabanken, 2024).</w:t>
      </w:r>
    </w:p>
    <w:p>
      <w:r>
        <w:rPr>
          <w:b/>
        </w:rPr>
        <w:t xml:space="preserve">Barbastell (NT, §4a) </w:t>
      </w:r>
      <w:r>
        <w:t>omfattas av bilaga 2 och 4 EU:s art- och habitatdirektiv vilket innebär att arten och dess livsmiljöer är strikt skyddade samt att Natura 2000-områden ska inrättas. Den är globalt rödlistad som nära hotad (NT) och i den europeiska rödlistan är den klassad som sårbar (VU). Barbastell omfattas av ett åtgärdsprogram för hotade arter (ÅGP) och inför upprättandet av åtgärdsprogrammet för arten 2015, konstaterade EU-kommissionen att Sverige inte skyddat tillräckligt med områden för arten i boreal biogeografisk region (SLU Artdatabanken, 2024; IUCN, 2016; Ahlén, 2015).</w:t>
      </w:r>
    </w:p>
    <w:p>
      <w:r>
        <w:t>Barbastellen föredrar ett halvöppet landskap med betes- och slåttermarker och gamla bondeskogar där den är speciellt inriktad på att ta fjärilar, framför allt småfjärilar, men även andra smådjursgrupper, t.ex. tvåvingar och spindlar. Bevarande av livsmiljöer är särskilt relevant i gammaldags utmarksskog eftersom det är en biotop som drastiskt minskat och hotas av skogsbruk. Om sådan skog kalavverkas och ersätts av ett plantageskogsbruk är förutsättningarna för förekomst av barbastell förstörda för lång tid framåt. Utvecklingen på Sydsvenska höglandet där huvuddelen av populationen finns är osäker och pågående landskapsförändringar befaras kunna leda till minskning med regionala och lokala försvinnande inom den kommande 21 års perioden. Minskningstakten för den svenska populationen bedöms vara nära gränsvärdet för Sårbar (VU). (A3c) (SLU Artdatabanken, 2024; Ahlén, 2015).</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Brunlångöra är typisk art för </w:t>
      </w:r>
      <w:r>
        <w:rPr>
          <w:i/>
        </w:rPr>
        <w:t>8310 Grottor</w:t>
      </w:r>
      <w:r>
        <w:t xml:space="preserve"> och </w:t>
      </w:r>
      <w:r>
        <w:rPr>
          <w:i/>
        </w:rPr>
        <w:t>8330</w:t>
      </w:r>
      <w:r>
        <w:t xml:space="preserve"> (SLU Artdatabanken, 2024).</w:t>
      </w:r>
    </w:p>
    <w:p>
      <w:r>
        <w:rPr>
          <w:b/>
        </w:rPr>
        <w:t>Dammfladdermus (NT, §4a)</w:t>
      </w:r>
      <w:r>
        <w:t xml:space="preserve"> omfattas av bilaga 2 och 4 EU:s art- och habitatdirektiv vilket innebär att arten och dess livsmiljöer är strikt skyddade samt att Natura 2000-områden ska inrättas. Dammfladdermus är globalt rödlistad som nära hotad (NT) och i den europeiska rödlistan är den klassad som sårbar (VU). För dammfladdermusen är det särskilt viktigt att värna om strandnära områden, genom att bevara eller skapa sumpskog och hålträd (SLU Artdatabanken, 2024; IUCN, 2016).</w:t>
      </w:r>
    </w:p>
    <w:p>
      <w:r>
        <w:rPr>
          <w:b/>
        </w:rPr>
        <w:t>Fransfladdermus (NT, §4a)</w:t>
      </w:r>
      <w:r>
        <w:t xml:space="preserve"> omfattas av bilaga 4 EU:s art- och habitatdirektiv vilket innebär ett strikt skydd för arten och dess livsmiljöer. Arten är känslig för fragmentering av skogsbiotoper och undviker att passera öppna områden. Avverkning av hålträd, dränering, minskad biotopvariation, till exempel igenplantering av ängs- och hagmark påverkar arten negativt och det är viktigt att bevara ett varierat landskap med inslag av sumpskogar och lövrika skogar intill vatten och vattendrag. Fransfladdermus är typisk art för </w:t>
      </w:r>
      <w:r>
        <w:rPr>
          <w:i/>
        </w:rPr>
        <w:t>8310 Grottor</w:t>
      </w:r>
      <w:r>
        <w:t xml:space="preserve"> och </w:t>
      </w:r>
      <w:r>
        <w:rPr>
          <w:i/>
        </w:rPr>
        <w:t>8330 Havsgrottor</w:t>
      </w:r>
      <w:r>
        <w:t xml:space="preserve"> (SLU Artdatabanken, 2024).</w:t>
      </w:r>
    </w:p>
    <w:p>
      <w:r>
        <w:rPr>
          <w:b/>
        </w:rPr>
        <w:t>Kandelabersvamp (NT)</w:t>
      </w:r>
      <w:r>
        <w:t xml:space="preserve"> är en mycket bra signalart på skyddsvärda skogsbestånd i hela sitt utbredningsområde. Svampen indikerar sena aspsuccessioner inom områden med konstant hög luftfuktighet. Kandelabersvamp är typisk art för </w:t>
      </w:r>
      <w:r>
        <w:rPr>
          <w:i/>
        </w:rPr>
        <w:t xml:space="preserve">9010 Taiga </w:t>
      </w:r>
      <w:r>
        <w:t>(Nitare &amp; Skogsstyrelsen, 2019; SLU Artdatabanken, 2025).</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r>
        <w:rPr>
          <w:b/>
        </w:rPr>
        <w:t>Grå skärelav</w:t>
      </w:r>
      <w:r>
        <w:t xml:space="preserve"> växer på barken av mycket gamla och grova jätteekar i halvöppet eller öppet läge. Sverige har ett stort internationellt ansvar att bevara dessa grova ekjättar och det är viktigt att hålla öppet kring deras konkurrenskänsliga kronor. Arten följs ofta av ett stort antal rödlistade lavar varför särskilt rika lokaler med grå skärelav bör skyddas. Grå skärelav är typisk art för </w:t>
      </w:r>
      <w:r>
        <w:rPr>
          <w:i/>
        </w:rPr>
        <w:t>9070 Trädklädd betesmark</w:t>
      </w:r>
      <w:r>
        <w:t xml:space="preserve"> och </w:t>
      </w:r>
      <w:r>
        <w:rPr>
          <w:i/>
        </w:rPr>
        <w:t>6530 Lövängar</w:t>
      </w:r>
      <w:r>
        <w:t xml:space="preserve"> (SLU Artdatabanken, 2024; Nitare &amp; Skogsstyrelsen, 2019).</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Gråskimlig fladdermus (§4a)</w:t>
      </w:r>
      <w:r>
        <w:t xml:space="preserve"> omfattas av bilaga 4 EU:s art- och habitatdirektiv vilket innebär ett strikt skydd där arten och dess livsmiljöer ska bevaras. Arten födosöker i halvöppna miljöer, t.ex. i glesa skogar, trädbärande betesmarker, brynmiljöer, parker och i anslutning till sjöar och vattendrag. 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Gamla träd med grov bark, skador, håligheter eller döda delar bör lämnas och yngre träd (efterträdare) tillåtas finnas kvar och åldras för att säkra framtida förekomst av lämpliga yngelmiljöer. Övervintringsplatser måste skyddas effektivt från störningar (SLU Artdatabanken, 2024).</w:t>
      </w:r>
    </w:p>
    <w:p>
      <w:r>
        <w:rPr>
          <w:b/>
        </w:rPr>
        <w:t>Större brunfladdermus (§4a)</w:t>
      </w:r>
      <w:r>
        <w:t xml:space="preserve"> omfattas av bilaga 4 EU:s art- och habitatdirektiv vilket innebär ett strikt skydd där arten och dess livsmiljöer ska bevaras. Den lever huvudsakligen i större skogsområden med gamla lövträdsbestånd, där den jagar i alla typer av öppna och halvöppna miljöer, ofta över stora sjöar och vattendrag, strandängar, betes- och slåttermarker. 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Gamla träd med grov bark, skador, håligheter eller döda delar bör lämnas och yngre träd (efterträdare) tillåtas finnas kvar och åldras för att säkra framtida förekomst av lämpliga yngelmiljöer. Övervintringsplatser måste skyddas effektivt från störningar (SLU Artdatabanken, 2024).</w:t>
      </w:r>
    </w:p>
    <w:p>
      <w:r>
        <w:rPr>
          <w:b/>
        </w:rPr>
        <w:t>Trollpipistrell (§4a)</w:t>
      </w:r>
      <w:r>
        <w:t xml:space="preserve"> omfattas av bilaga 4 EU:s art- och habitatdirektiv vilket innebär ett strikt skydd för arten och dess livsmiljöer. Trollpipistrell förekommer i gles barr- och lövskog, i trädbärande beteshagar, i kantzoner mellan skog och odlingsmark, i närheten av sjöar och vattendrag samt i bymiljöer. Den undviker stora öppna miljöer såsom åkrar och hyggen och gynnas av ett landskap med mycket lövträd, vatten och hålträd. Under året utnyttjas många olika miljöer och ett effektivt bevarandearbete måste därför utgå från ett landskapsekologiskt perspektiv. Ett varierat landskap med hög andel äldre lövträd, småvatten, sumpskogar, öppna våtmarker, ängar och betesmarker, är gynnsamt för insekter vilket skapar förutsättningar för fladdermöss att finna tillräckligt med föda (SLU Artdatabanken, 2024).</w:t>
      </w:r>
    </w:p>
    <w:p>
      <w:r>
        <w:rPr>
          <w:b/>
        </w:rPr>
        <w:t>Vattenfladdermus (§4a)</w:t>
      </w:r>
      <w:r>
        <w:t xml:space="preserve"> omfattas av bilaga 4 EU:s art- och habitatdirektiv vilket innebär ett strikt skydd där arten och dess livsmiljöer ska bevaras. Arten förekommer mest vid vatten, vid både sjöar och vattendrag där den födosöker antingen tätt ovanför vattenytan eller i strandskog. Kolonin kan ligga ganska långt från vatten och den kan ibland jaga i skog flera kilometer från vatten. För vattenfladdermusen bör framförallt åtgärder planeras och vidtas i strandnära områden. Sumpskog och hålträd behöver bevaras och återskapas. Gamla träd med grov bark, skador, håligheter eller döda delar bör lämnas och yngre träd (efterträdare) tillåtas finnas kvar och åldras för att säkra framtida förekomst av lämpliga yngelmiljöer. Övervintringsplatser måste skyddas effektivt från störningar. Vattenfladdermus är typisk art för </w:t>
      </w:r>
      <w:r>
        <w:rPr>
          <w:i/>
        </w:rPr>
        <w:t>8310 Grottor</w:t>
      </w:r>
      <w:r>
        <w:t xml:space="preserve"> och </w:t>
      </w:r>
      <w:r>
        <w:rPr>
          <w:i/>
        </w:rPr>
        <w:t>8330 Havsgrottor</w:t>
      </w:r>
      <w:r>
        <w:t xml:space="preserve"> (SLU Artdatabanken, 2025).</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Sydpipistrell – ekologi samt krav på livsmiljön</w:t>
      </w:r>
    </w:p>
    <w:p>
      <w:r>
        <w:t>Sydpipistrell (VU, §4a), rödlistad som sårbar, omfattas av bilaga 4 EU:s art- och habitatdirektiv vilket innebär att arten och dess livsmiljöer är strikt skyddade. Den förekommer i alla typer av glesare skogar med en preferens för lövskog. Man hittar den i trädbärande beteshagar, i kantzoner mellan skog och odlingsmark, i närheten av vatten och i bymiljöer. Den undviker stora sammanhängande öppna miljöer såsom åkrar och hyggen.  Lövrika bryn med stor insektsproduktion, trädbevuxna hagmarker och glesa lövskogar bör bevaras där arten är funnen (SLU Artdatabanken, 2024).</w:t>
      </w:r>
    </w:p>
    <w:p>
      <w:r>
        <w:t>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(SLU Artdatabanken, 2024).</w:t>
      </w:r>
    </w:p>
    <w:p>
      <w:pPr>
        <w:pStyle w:val="Heading2"/>
      </w:pPr>
      <w:r>
        <w:t>Referenser – sydpipistrell</w:t>
      </w:r>
    </w:p>
    <w:p>
      <w:r>
        <w:t>SLU Artdatabanken, 2024.</w:t>
      </w:r>
      <w:r>
        <w:rPr>
          <w:i/>
        </w:rPr>
        <w:t xml:space="preserve"> Artfakta: sydpipistrell (Pipistrellus pipistrellus)</w:t>
      </w:r>
      <w:r>
        <w:t>. https://artfakta.se/taxa/205994</w:t>
      </w:r>
    </w:p>
    <w:p>
      <w:pPr>
        <w:pStyle w:val="Heading1"/>
      </w:pPr>
      <w:r>
        <w:t>Barbastell – ekologi samt krav på livsmiljön</w:t>
      </w:r>
    </w:p>
    <w:p>
      <w:r>
        <w:t>Barbastell (NT, §4a) omfattas av bilaga 2 och 4 EU:s art- och habitatdirektiv vilket innebär att arten och dess livsmiljöer är strikt skyddade samt att Natura 2000-områden ska inrättas. Barbastell är globalt rödlistad som nära hotad (NT) och i den europeiska rödlistan är den klassad som sårbar (VU). Den omfattas av ett åtgärdsprogram för hotade arter (ÅGP) och inför upprättandet av åtgärdsprogrammet för arten 2015, konstaterade EU-kommissionen att Sverige inte skyddat tillräckligt med områden för barbastell i boreal biogeografisk region (SLU Artdatabanken, 2024; IUCN, 2016; Ahlén, 2015).</w:t>
      </w:r>
    </w:p>
    <w:p>
      <w:r>
        <w:t>Barbastellen förekommer från Skåne och Blekinge i söder till Västra Götaland och Östergötland i norr. Den föredrar ett halvöppet landskap med betes- och slåttermarker och gamla bondeskogar där den är speciellt inriktad på att ta fjärilar, framför allt småfjärilar, men även andra smådjursgrupper, t.ex. tvåvingar och spindlar.  Utvecklingen på Sydsvenska höglandet där huvuddelen av populationen finns är osäker och pågående landskapsförändringar befaras kunna leda till minskning med regionala och lokala försvinnande inom den kommande 21 års perioden. Minskningstakten för den svenska populationen bedöms vara nära gränsvärdet för Sårbar (VU). (A3c) (SLU Artdatabanken, 2024; Ahlén, 2015).</w:t>
      </w:r>
    </w:p>
    <w:p>
      <w:r>
        <w:t>Kärnområdet i norra Småland och södra Östergötland kännetecknas av äldre genuin gårdsbebyggelse, ofta i byar med flera näraliggande gårdar och ladugårdar. I omgivningarna finns vanligen rikligt med äldre, grova tidigare hamlade träd och andra äldre lövträd, beteshagar och ängar, gärna med översilningsmark och kärr. Trädgårdar av äldre typ, icke alltför intensivt skötta, utgör också en viktig jaktbiotop. Barbastell jagar mest i närområdet kring kolonierna, men gör också regelbundet besök i skogsområdena runtom och jagar där bl.a. i äldre typ av skog som ännu bär spår av utmarksbete. Data från både västra och östra Småland visar att de regelbundet flyger minst 4 km från kolonimiljöerna. Mycket av dessa skogar har avverkats och ersatts av kalhyggen och planterade ungskogar vilket troligen är huvudorsaken till försvinnandet av flera kolonier och populationens tillbakagång i norra delen av utbredningsområdet (SLU Artdatabanken, 2024; Ahlén, 2015).</w:t>
      </w:r>
    </w:p>
    <w:p>
      <w:r>
        <w:t>Eftersom det handlar om rörliga djur som snabbt förflyttar sig över stora områden, måste det inte alltid vara ett sammanhängande skyddat område utan huvudsaken är att man bevarar tillräcklig mängd viktiga miljöer i ett område på ca 15–20 km2. Bevarande av livsmiljöer är särskilt relevant i gammaldags utmarksskog eftersom det är en biotop som drastiskt minskat och hotas av skogsbruk. Om sådan skog kalavverkas och ersätts av ett plantageskogsbruk är förutsättningarna för förekomst av barbastell förstörda för lång tid framåt. Bevarandet av de miljöer som barbastellen är beroende av skogsbrukets och jordbrukets miljöhänsyn. Ett anpassat skogsbruk, med kontinuitetskogsbruk samt bevarande av brynmiljöer i skogs- och jordbrukslandskapet är viktiga åtgärder (SLU Artdatabanken, 2024; Ahlén, 2015).</w:t>
      </w:r>
    </w:p>
    <w:p>
      <w:r>
        <w:t>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En förändring från småskalig till mer storskalig fragmentering av skogsmark är negativt. Om insektsrika biotoper som fuktiga äldre skogar och betesmarker blir alltför glest förekommande så försvinner underlaget för att kunna bilda kolonier. Dränering av skogsmark, igenplantering av betesmarker, minskad lövrikedom, försämrad brynkvalitet är exempel på åtgärder som kan påverka habitatkvaliteten negativt. De viktigaste områdena för barbastellen bör säkras inom Natura 2000-nätverket enligt Habitatdirektivets bilaga 2 (SLU Artdatabanken, 2024; Ahlén, 2015).</w:t>
      </w:r>
    </w:p>
    <w:p>
      <w:pPr>
        <w:pStyle w:val="Heading2"/>
      </w:pPr>
      <w:r>
        <w:t>Referenser – barbastell</w:t>
      </w:r>
    </w:p>
    <w:p>
      <w:r>
        <w:t xml:space="preserve">Ahlén, I., 2015. </w:t>
      </w:r>
      <w:r>
        <w:rPr>
          <w:i/>
        </w:rPr>
        <w:t>Åtgärdsprogram för barbastell, 2015–2019 (Barbastella barbastellus)</w:t>
      </w:r>
      <w:r>
        <w:t>. Naturvårdsverket. Rapport: 6532.</w:t>
      </w:r>
    </w:p>
    <w:p>
      <w:r>
        <w:t xml:space="preserve">IUCN, 2016. </w:t>
      </w:r>
      <w:r>
        <w:rPr>
          <w:i/>
        </w:rPr>
        <w:t>Barbastella barbastellus</w:t>
      </w:r>
      <w:r>
        <w:t>. The IUCN Red List of Threatened Species.</w:t>
      </w:r>
    </w:p>
    <w:p>
      <w:r>
        <w:t xml:space="preserve">SLU Artdatabanken, 2024. </w:t>
      </w:r>
      <w:r>
        <w:rPr>
          <w:i/>
        </w:rPr>
        <w:t>Artfakta: barbastell (Barbastella barbastellus).</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 xml:space="preserve">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Brunlångöra är typisk art för </w:t>
      </w:r>
      <w:r>
        <w:rPr>
          <w:i/>
        </w:rPr>
        <w:t>8310 Grottor</w:t>
      </w:r>
      <w:r>
        <w:t xml:space="preserve"> och </w:t>
      </w:r>
      <w:r>
        <w:rPr>
          <w:i/>
        </w:rPr>
        <w:t>8330 Havsgrottor</w:t>
      </w:r>
      <w:r>
        <w:t xml:space="preserve">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Dammfladdermus – ekologi samt krav på livsmiljön</w:t>
      </w:r>
    </w:p>
    <w:p>
      <w:r>
        <w:t>Dammfladdermus (NT, §4a) omfattas av bilaga 2 och 4 EU:s art- och habitatdirektiv vilket innebär att arten och dess livsmiljöer är strikt skyddade samt att Natura 2000-områden ska inrättas. Dammfladdermus är globalt rödlistad som nära hotad (NT) och i den europeiska rödlistan är den klassad som sårbar (VU) (SLU Artdatabanken, 2024; IUCN, 2016).</w:t>
      </w:r>
    </w:p>
    <w:p>
      <w:r>
        <w:t>Dammfladdermusen förekommer mest vid vatten, vid både sjöar och vattendrag. Den födosöker antingen tätt ovanför vattenytan eller i strandskog. Dammfladdermusen väljer lite större vatten än vattenfladdermusen, till exempel sjöar och breda åar. Den undviker stora sammanhängande öppna miljöer såsom åkrar och hyggen. Eftersom dammfladdermusen i huvudsak jagar över sjöar och vattendrag så är det framförallt vattenkvalité och utformningen av strandnära miljöer som påverkar artens förekomst. För dammfladdermusen är det särskilt viktigt att värna om strandnära områden, genom att bevara eller skapa sumpskog och hålträd (SLU Artdatabanken, 2024).</w:t>
      </w:r>
    </w:p>
    <w:p>
      <w:pPr>
        <w:pStyle w:val="Heading2"/>
      </w:pPr>
      <w:r>
        <w:t>Referenser – dammfladdermus</w:t>
      </w:r>
    </w:p>
    <w:p>
      <w:r>
        <w:t xml:space="preserve">IUCN, 2016. </w:t>
      </w:r>
      <w:r>
        <w:rPr>
          <w:i/>
        </w:rPr>
        <w:t>Myotis dasycneme</w:t>
      </w:r>
      <w:r>
        <w:t>. The IUCN Red List of Threatened Species.</w:t>
      </w:r>
    </w:p>
    <w:p>
      <w:r>
        <w:t>SLU Artdatabanken, 2024.</w:t>
      </w:r>
      <w:r>
        <w:rPr>
          <w:i/>
        </w:rPr>
        <w:t xml:space="preserve"> Artfakta: dammfladdermus (Myotis dasycneme)</w:t>
      </w:r>
      <w:r>
        <w:t>. https://artfakta.se/taxa/100086</w:t>
      </w:r>
    </w:p>
    <w:p>
      <w:pPr>
        <w:pStyle w:val="Heading1"/>
      </w:pPr>
      <w:r>
        <w:t>Fransfladdermus – ekologi samt krav på livsmiljön</w:t>
      </w:r>
    </w:p>
    <w:p>
      <w:r>
        <w:t>Fransfladdermus (NT, §4a) omfattas av bilaga 4 EU:s art- och habitatdirektiv vilket innebär ett strikt skydd för arten och dess livsmiljöer. Arten är skogslevande och undviker att flyga i öppna områden. Den förekommer i barr- och lövskog, ofta nära vattendrag eller sumpskog. Den föredrar lite blötare lövrik skog, men påträffas även i trädgårdar och parker, ibland också i lövrika hagmarker (SLU Artdatabanken, 2024).</w:t>
      </w:r>
    </w:p>
    <w:p>
      <w:r>
        <w:t>Arten är känslig för fragmentering av skogsbiotoper och undviker att passera öppna områden. Avverkning av hålträd, dränering, minskad biotopvariation, till exempel igenplantering av ängs- och hagmark påverkar arten negativt. Gamla träd med grov bark, skador, håligheter eller döda delar bör lämnas och yngre träd (efterträdare) tillåtas finnas kvar och åldras för att säkra framtida förekomst av lämpliga yngelmiljöer. För fransfladdermus är det särskilt värdefullt att bevara eller skapa lövrika skogar vid vattendrag och sumpskogar med många ihåliga träd samt bevara äldre byggnader som gamla kvarnar och andra byggnader med valvgångar, kanaler och stenbroar mm (SLU Artdatabanken, 2024).</w:t>
      </w:r>
    </w:p>
    <w:p>
      <w:r>
        <w:t xml:space="preserve">Under året utnyttjar fladdermöss många olika miljöer och ett effektivt bevarandearbete måste därför utgå från ett landskapsekologiskt perspektiv. Ett varierat landskap med hög andel äldre lövträd, småvatten, sumpskogar, öppna våtmarker, ängar och betesmarker gynnar insektsproduktion vilket skapar förutsättningar för fladdermöss att hitta tillräckligt med föda. Fransfladdermus är typisk art för </w:t>
      </w:r>
      <w:r>
        <w:rPr>
          <w:i/>
        </w:rPr>
        <w:t>8310 Grottor</w:t>
      </w:r>
      <w:r>
        <w:t xml:space="preserve"> och </w:t>
      </w:r>
      <w:r>
        <w:rPr>
          <w:i/>
        </w:rPr>
        <w:t>8330 Havsgrottor</w:t>
      </w:r>
      <w:r>
        <w:t xml:space="preserve"> (SLU Artdatabanken, 2024).</w:t>
      </w:r>
    </w:p>
    <w:p>
      <w:pPr>
        <w:pStyle w:val="Heading2"/>
      </w:pPr>
      <w:r>
        <w:t>Referenser – fransfladdermus</w:t>
      </w:r>
    </w:p>
    <w:p>
      <w:r>
        <w:t>SLU Artdatabanken, 2024.</w:t>
      </w:r>
      <w:r>
        <w:rPr>
          <w:i/>
        </w:rPr>
        <w:t xml:space="preserve"> Artfakta: fransfladdermus (Myotis nattereri)</w:t>
      </w:r>
      <w:r>
        <w:t>.</w:t>
      </w:r>
      <w:r>
        <w:rPr>
          <w:i/>
        </w:rPr>
        <w:t xml:space="preserve"> </w:t>
      </w:r>
      <w:r>
        <w:t>https://artfakta.se/taxa/100087</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