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57302-2019 i Mönsterås kommun</w:t>
      </w:r>
    </w:p>
    <w:p>
      <w:r>
        <w:t>Detta dokument behandlar höga naturvärden i avverkningsanmälan A 57302-2019 i Mönsterås kommun. Denna avverkningsanmälan inkom 2019-10-22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spetspraktbagge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7302-2019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6319084, E 581950 i SWEREF 99 TM.</w:t>
      </w:r>
    </w:p>
    <w:p>
      <w:r>
        <w:rPr>
          <w:b/>
        </w:rPr>
        <w:t>Spetspraktbagge (NT)</w:t>
      </w:r>
      <w:r>
        <w:t xml:space="preserve"> är en skalbagge vars larvutveckling sker i solexponerade grenar och klenare stamdelar av olika </w:t>
      </w:r>
      <w:r>
        <w:rPr>
          <w:i/>
        </w:rPr>
        <w:t>Salix</w:t>
      </w:r>
      <w:r>
        <w:t>-arter, främst sälg men även t.ex. gråvide. Arten missgynnas av röjning i lövrika buskmarker, uttag av biobränsle och igenväxning. Stora områden med grova videbuskar bör lämnas orörda utan röjning, exempelvis fuktängar och skogsbryn. Glesa lövskogsmarker med gammal sälg bör bevaras genom bibehållen hävd och utglesning av beskuggande träd (främst gran). Undvik uttag av sälg som biobränsle. I Sverige är arten endast känd från östra Småland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