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Ekgrenbock ingår i ett åtgärdsprogram för hotade arter (ÅGP) (SLU Artdatabanken, 2026;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r>
        <w:rPr>
          <w:b/>
        </w:rPr>
        <w:t xml:space="preserve">Större sågsvartbagge </w:t>
      </w:r>
      <w:r>
        <w:t>är en skalbagge vars larvutveckling sker under bark och i murken ved som sönderdelats av andra vedinsekter i döda lövträd, bland annat av ek, bok, lind och sälg. Ofta i gångar av noshornsoxe eller bokoxe. Arten påverkas negativt av brist på död ved och det föreligger indikation på eller misstanke om populationsminskning. Minskningen avser kvalitén på artens habitat (SLU Artdatabanken, 2026).</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