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10103-2022 i Mönsterås kommun</w:t>
      </w:r>
    </w:p>
    <w:p>
      <w:r>
        <w:t>Detta dokument behandlar höga naturvärden i avverkningsanmälan A 10103-2022 i Mönsterås kommun. Denna avverkningsanmälan inkom 2022-03-01 18:45:08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p>
      <w:r>
        <w:rPr>
          <w:b/>
        </w:rPr>
        <w:t xml:space="preserve">Jätteknäppare (NT) </w:t>
      </w:r>
      <w:r>
        <w:t>är en skalbagge vars larvutveckling sker i solexponerade högstubbar av tall, främst i glesa naturskogsbestånd av tall. Fullbildade skalbaggar påträffas främst i juli-augusti, de är nattaktiva och dras till ljus. Arten påverkas negativt av brist på kontinuitetsskog och det föreligger indikation på eller misstanke om populationsminskning. Minskningen avser kvalitén på artens habitat (SLU Artdatabanken, 2026).</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