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2468-2024 i Mönsterås kommun</w:t>
      </w:r>
    </w:p>
    <w:p>
      <w:r>
        <w:t>Detta klagomål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8965"/>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8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6311089, E 586404 i SWEREF 99 TM.</w:t>
      </w:r>
    </w:p>
    <w:p>
      <w:r>
        <w:t>I och inom 25 meter från samrådsanmälan finns fynd av 35 naturvårdsarter, varav 21 är rödlistade, 11 är fridlysta, 10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hässlebrodd (T), liljekonvalj (T), lundslok (T), skogsbingel (T),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Lundslok</w:t>
      </w:r>
      <w:r>
        <w:t xml:space="preserve"> är typisk art för </w:t>
      </w:r>
      <w:r>
        <w:rPr>
          <w:i/>
        </w:rPr>
        <w:t xml:space="preserve">9130 Näringsrik bokskog </w:t>
      </w:r>
      <w:r>
        <w:t xml:space="preserve">och </w:t>
      </w:r>
      <w:r>
        <w:rPr>
          <w:i/>
        </w:rPr>
        <w:t>9160 Näringsrik ekskog</w:t>
      </w:r>
      <w:r>
        <w:t>. Fjärilen lundsloksgräsmal har lundslok som värdväxt</w:t>
      </w:r>
      <w:r>
        <w:rPr>
          <w:i/>
        </w:rPr>
        <w:t xml:space="preserve">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