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43583-2023 i Mönsterås kommun</w:t>
      </w:r>
    </w:p>
    <w:p>
      <w:r>
        <w:t>Detta klagomål behandlar höga naturvärden i avverkningsanmälan A 43583-2023 i Mönsterås kommun som inkom 2023-09-15 och omfattar 1,1 ha.</w:t>
      </w:r>
    </w:p>
    <w:p>
      <w:pPr>
        <w:pStyle w:val="Caption"/>
      </w:pPr>
      <w:r>
        <w:drawing>
          <wp:inline xmlns:a="http://schemas.openxmlformats.org/drawingml/2006/main" xmlns:pic="http://schemas.openxmlformats.org/drawingml/2006/picture">
            <wp:extent cx="5486400" cy="4901938"/>
            <wp:docPr id="1" name="Picture 1"/>
            <wp:cNvGraphicFramePr>
              <a:graphicFrameLocks noChangeAspect="1"/>
            </wp:cNvGraphicFramePr>
            <a:graphic>
              <a:graphicData uri="http://schemas.openxmlformats.org/drawingml/2006/picture">
                <pic:pic>
                  <pic:nvPicPr>
                    <pic:cNvPr id="0" name="A 43583-2023 karta.png"/>
                    <pic:cNvPicPr/>
                  </pic:nvPicPr>
                  <pic:blipFill>
                    <a:blip r:embed="rId16"/>
                    <a:stretch>
                      <a:fillRect/>
                    </a:stretch>
                  </pic:blipFill>
                  <pic:spPr>
                    <a:xfrm>
                      <a:off x="0" y="0"/>
                      <a:ext cx="5486400" cy="4901938"/>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6320865, E 586146 i SWEREF 99 TM.</w:t>
      </w:r>
    </w:p>
    <w:p>
      <w:r>
        <w:t>Inom 15 meter från avverkningsanmälan finns fynd av 7 naturvårdsarter, varav 3 är rödlistade, 7 är fridlysta och 1 är typisk (T): grönfink (VU, §4), stare (VU, §4), grönsångare (NT, §4), spillkråka (T, §4), kråka (§4), kungsfågel (§4) och röd glada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