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5639-2022 i Mönsterås kommun</w:t>
      </w:r>
    </w:p>
    <w:p>
      <w:r>
        <w:t>Denna tillsynsbegäran behandlar höga naturvärden i avverkningsanmälan A 5639-2022 i Mönsterås kommun som inkom 2022-02-03 och omfattar 10,2 ha.</w:t>
      </w:r>
    </w:p>
    <w:p>
      <w:pPr>
        <w:pStyle w:val="Caption"/>
      </w:pPr>
      <w:r>
        <w:drawing>
          <wp:inline xmlns:a="http://schemas.openxmlformats.org/drawingml/2006/main" xmlns:pic="http://schemas.openxmlformats.org/drawingml/2006/picture">
            <wp:extent cx="5486400" cy="4780067"/>
            <wp:docPr id="1" name="Picture 1"/>
            <wp:cNvGraphicFramePr>
              <a:graphicFrameLocks noChangeAspect="1"/>
            </wp:cNvGraphicFramePr>
            <a:graphic>
              <a:graphicData uri="http://schemas.openxmlformats.org/drawingml/2006/picture">
                <pic:pic>
                  <pic:nvPicPr>
                    <pic:cNvPr id="0" name="A 5639-2022 karta.png"/>
                    <pic:cNvPicPr/>
                  </pic:nvPicPr>
                  <pic:blipFill>
                    <a:blip r:embed="rId16"/>
                    <a:stretch>
                      <a:fillRect/>
                    </a:stretch>
                  </pic:blipFill>
                  <pic:spPr>
                    <a:xfrm>
                      <a:off x="0" y="0"/>
                      <a:ext cx="5486400" cy="478006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6333046, E 570719 i SWEREF 99 TM.</w:t>
      </w:r>
    </w:p>
    <w:p>
      <w:r>
        <w:t>Inom 24 meter från avverkningsanmälan finns fynd av 4 naturvårdsarter, varav 2 är rödlistade, 1 är fridlyst, 1 är typisk (T) och 2 är signalarter (S): svart guldbagge (EN), smalvingad blombock (NT), ekoxe (S, §6)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guldbagge</w:t>
      </w:r>
      <w:r>
        <w:rPr>
          <w:b/>
          <w:i/>
        </w:rPr>
        <w:t xml:space="preserve"> </w:t>
      </w:r>
      <w:r>
        <w:rPr>
          <w:b/>
        </w:rPr>
        <w:t>(EN)</w:t>
      </w:r>
      <w:r>
        <w:t xml:space="preserve"> är en starkt hotad skalbagge vars larvutveckling sker i rödmurken ved, främst i stående ihåliga, både levande och döda träd, men även i lågor. I Sverige utnyttjas främst ek, i Tyskland även bok och i mindre omfattning andra trädslag såsom alm, sälg, hästkastanj, avenbok, björk och klibbal. Arten förekommer ofta i samma träd som läderbagge (VU, §4a) och andra rödlistade insekter. Igenväxning av passande hagmarker med gamla hålekar skapar ett ogynnsamt mikroklimat vilket gör att de gamla hålträden dör i förtid. Generationsglapp i vissa trädbestånd kan i framtiden leda till brist på lämpligt substrat. Bevara gamla hålträd i kulturlandskapet och förhindra igenväxning av hagmarker. Spara omkullfallna hålträd (SLU Artdatabanken, 2025).</w:t>
      </w:r>
    </w:p>
    <w:p>
      <w:r>
        <w:rPr>
          <w:b/>
        </w:rPr>
        <w:t xml:space="preserve">Smalvingad blombock (NT) </w:t>
      </w:r>
      <w:r>
        <w:t>är en långhorning vars larvutveckling sker i ganska torr, vitrötad ved i grenar och klenare stammar eller stubbar av lövträd, även i t.ex. stängselpålar. I Sverige har ek angetts som huvudsakligt värdträd, i Centraleuropa utnyttjas björk, al, ek, hassel, skogskornell, alm mm. Åtminstone i Uppland finns flera fynd efter år 2000 i barrskogstrakter som är fattiga på ek. Främsta hotet är brist på lämplig ved. Det kan bero på avverkning av lövskog, uttag av lövträdsved som biobränsle och att lövrika biotoper som exempelvis gamla hagmarker omvandlas till granplanteringar. Bevara lövrika biotoper i både skogstrakter och odlingslandskap, främst vad gäller ek. Undvik uttag av ekved som biobränsle, och låt veden istället ligga kvar. Äldre lövskogar som växer igen med gran kan gärna gallras selektivt på yngre gran. Blomrika småbiotoper och bryn bör alltid bevaras för att gynna insektslivet (SLU Artdatabanken, 2025).</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