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34337-2025 i Mönsterås kommun</w:t>
      </w:r>
    </w:p>
    <w:p>
      <w:r>
        <w:t>Denna tillsynsbegäran behandlar höga naturvärden i avverkningsanmälan A 34337-2025 i Mönsterås kommun som inkom 2025-07-08 och omfattar 4,5 ha.</w:t>
      </w:r>
    </w:p>
    <w:p>
      <w:pPr>
        <w:pStyle w:val="Caption"/>
      </w:pPr>
      <w:r>
        <w:drawing>
          <wp:inline xmlns:a="http://schemas.openxmlformats.org/drawingml/2006/main" xmlns:pic="http://schemas.openxmlformats.org/drawingml/2006/picture">
            <wp:extent cx="5486400" cy="4615618"/>
            <wp:docPr id="1" name="Picture 1"/>
            <wp:cNvGraphicFramePr>
              <a:graphicFrameLocks noChangeAspect="1"/>
            </wp:cNvGraphicFramePr>
            <a:graphic>
              <a:graphicData uri="http://schemas.openxmlformats.org/drawingml/2006/picture">
                <pic:pic>
                  <pic:nvPicPr>
                    <pic:cNvPr id="0" name="A 34337-2025 karta.png"/>
                    <pic:cNvPicPr/>
                  </pic:nvPicPr>
                  <pic:blipFill>
                    <a:blip r:embed="rId16"/>
                    <a:stretch>
                      <a:fillRect/>
                    </a:stretch>
                  </pic:blipFill>
                  <pic:spPr>
                    <a:xfrm>
                      <a:off x="0" y="0"/>
                      <a:ext cx="5486400" cy="461561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6320637, E 592520 i SWEREF 99 TM.</w:t>
      </w:r>
    </w:p>
    <w:p>
      <w:r>
        <w:t>I och inom 22 meter från avverkningsanmälan finns fynd av 10 naturvårdsarter, varav 4 är rödlistade, 7 är fridlysta, 4 är typiska (T) och 1 är signalart (S): grönsångare (NT, §4), tallticka (NT, T), talltita (NT, §4), vedskivlav (NT, T), fällmossa (S, T), spillkråka (T, §4), havsörn (§4), kråka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