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34721-2024 i Mönsterås kommun</w:t>
      </w:r>
    </w:p>
    <w:p>
      <w:r>
        <w:t>Detta dokument behandlar höga naturvärden i avverkningsanmälan A 34721-2024 i Mönsterås kommun. Denna avverkningsanmälan inkom 2024-08-22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spegelbock (VU), ekträdlöpare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4721-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6315731, E 580487 i SWEREF 99 TM.</w:t>
      </w:r>
    </w:p>
    <w:p>
      <w:r>
        <w:rPr>
          <w:b/>
        </w:rPr>
        <w:t>Mörk spegelbock (VU)</w:t>
      </w:r>
      <w:r>
        <w:t xml:space="preserve"> är en skalbagge vars larvutveckling sker i torra, nyligen döda kvistar eller grenar (2–4 cm i diameter) av lövträd, i Sverige såvitt känt enbart ek. Det främsta hotet är bristande tillgång på färsk ekved i form av grenar och klenare stammar i solexponerade lägen. Lämplig ved försvinner vid avverkningar och uttag av biobränsle. Dessutom leder uttag av biobränsle som blivit äggbelagt till lokala populationsförluster. Arten missgynnas också av att lövskogar med ek växer igen med främst gran. Mörk spegelbock ingår i ett åtgärdsprogram för hotade arter (ÅGP) (SLU Artdatabanken, 2024; Franc, 2013).</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