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1973-2023 i Mönsterås kommun</w:t>
      </w:r>
    </w:p>
    <w:p>
      <w:r>
        <w:t>Denna tillsynsbegäran behandlar höga naturvärden i avverkningsanmälan A 1973-2023 i Mönsterås kommun som inkom 2023-01-13 och omfattar 1,4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1973-2023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6334136, E 582558 i SWEREF 99 TM.</w:t>
      </w:r>
    </w:p>
    <w:p>
      <w:r>
        <w:t>Inom 16 meter från avverkningsanmälan finns fynd av 2 naturvårdsarter, varav 1 är rödlistad och 1 är signalart (S): Notolaemus unifasciatus (VU) och Thymalus limbatus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Notolaemus unifasciatus </w:t>
      </w:r>
      <w:r>
        <w:rPr>
          <w:b/>
        </w:rPr>
        <w:t>(VU)</w:t>
      </w:r>
      <w:r>
        <w:t xml:space="preserve"> är en skalbagge vars larvutveckling sker under lös bark på döda grenar och stammar av lövträd, i Sverige främst ek och bok, i Centraleuropa även björk och asp. Arten är bl.a. funnen i gångsystem av eksplintborre. Bevara ädellövskogsbestånd och undvik att utnyttja ekavfall för flisframställning (SLU Artdatabanken, 2025).</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