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3229-2024 i Mönsterås kommun</w:t>
      </w:r>
    </w:p>
    <w:p>
      <w:r>
        <w:t>Denna tillsynsbegäran behandlar höga naturvärden i samrådsanmälan S 3229-2024 i Mönsterås kommun som inkom 2024-08-21 och omfattar 113,0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S 3229-2024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6323420, E 577551 i SWEREF 99 TM.</w:t>
      </w:r>
    </w:p>
    <w:p>
      <w:r>
        <w:t>I och inom 24 meter från samrådsanmälan finns fynd av 34 naturvårdsarter, varav 14 är rödlistade, 19 är fridlysta, 15 är typiska (T) och 9 är signalarter (S): ask (EN), knärot (VU, T, §8), barbastell (NT, §4a), brunlångöra (NT, §4a), grönsångare (NT, §4), jungfrulin (NT), kattfotslav (NT, T), motaggsvamp (NT, T), nordfladdermus (NT, §4a), nötkråka (NT, T, §4), spindelört (NT), sydfladdermus (NT, §4a), tallticka (NT, T), talltita (NT, §4), björksplintborre (S), blåmossa (S, T), bronshjon (S, T), flagellkvastmossa (S, T), kornknutmossa (S, T), mindre märgborre (S, T), murgröna (S, T), stubbspretmossa (S, T), vågbandad barkbock (S), nattskärra (T, §4), spillkråka (T, §4), tjäder (T, §4), dvärgpipistrell (§4a), gråskimlig fladdermus (§4a), gröngöling (§4), större brunfladdermus (§4a), vattenfladdermus (§4a), fläcknycklar (§8), gullviva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455893"/>
            <wp:docPr id="2" name="Picture 2"/>
            <wp:cNvGraphicFramePr>
              <a:graphicFrameLocks noChangeAspect="1"/>
            </wp:cNvGraphicFramePr>
            <a:graphic>
              <a:graphicData uri="http://schemas.openxmlformats.org/drawingml/2006/picture">
                <pic:pic>
                  <pic:nvPicPr>
                    <pic:cNvPr id="0" name="S 3229-2024 karta knärot.png"/>
                    <pic:cNvPicPr/>
                  </pic:nvPicPr>
                  <pic:blipFill>
                    <a:blip r:embed="rId17"/>
                    <a:stretch>
                      <a:fillRect/>
                    </a:stretch>
                  </pic:blipFill>
                  <pic:spPr>
                    <a:xfrm>
                      <a:off x="0" y="0"/>
                      <a:ext cx="5486400" cy="645589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6323420, E 577551 i SWEREF 99 TM.</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Sydfladdermus (NT, §4a)</w:t>
      </w:r>
      <w:r>
        <w:t xml:space="preserve">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Sydfladdermus hör till de arter som är mer utsatta för vindkraft på grund av sitt jaktbeteende där den under hösten ofta födosöker på hög höjd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kattfotslav (NT, T), motaggsvamp (NT, T), nötkråka (NT, T, §4), tallticka (NT, T), blåmossa (S, T), bronshjon (S, T), flagellkvastmossa (S, T), kornknutmossa (S, T), mindre märgborre (S, T), murgröna (S, T), stubbspretmossa (S, T), nattskärra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Sydfladdermus – ekologi samt krav på livsmiljön</w:t>
      </w:r>
    </w:p>
    <w:p>
      <w:r>
        <w:t>Sydfladdermus (NT, §4a) omfattas av bilaga 4 EU:s art- och habitatdirektiv vilket innebär att arten och dess livsmiljöer är strikt skyddade. Den födosöker i halvöppna miljöer som glesa skogar, skogskanter, trädbärande betesmarker, gårdsmiljöer, bryn och parker och äter framförallt lite större byten av skalbaggar, nattfjärilar och myggor. Gatlampor drar till sig mycket insekter och arten kan därför ses patrullera dessa på jakt efter föda. Sydfladdermus hör till de arter som är mer utsatta för vindkraft på grund av sitt jaktbeteende där den under hösten ofta födosöker på hög höjd (SLU Artdatabanken, 2024).</w:t>
      </w:r>
    </w:p>
    <w:p>
      <w:r>
        <w:t>Under året utnyttjar fladdermöss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(SLU Artdatabanken, 2024).</w:t>
      </w:r>
    </w:p>
    <w:p>
      <w:pPr>
        <w:pStyle w:val="Heading2"/>
      </w:pPr>
      <w:r>
        <w:t>Referenser – sydfladdermus</w:t>
      </w:r>
    </w:p>
    <w:p>
      <w:r>
        <w:t>SLU Artdatabanken, 2024.</w:t>
      </w:r>
      <w:r>
        <w:rPr>
          <w:i/>
        </w:rPr>
        <w:t xml:space="preserve"> Artfakta: sydfladdermus (Eptesicus serotinus)</w:t>
      </w:r>
      <w:r>
        <w:t>. https://artfakta.se/taxa/100051</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