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532-2023 i Mönsterås kommun</w:t>
      </w:r>
    </w:p>
    <w:p>
      <w:r>
        <w:t>Denna tillsynsbegäran behandlar höga naturvärden i samrådsanmälan S 532-2023 i Mönsterås kommun som inkom 2023-02-10 och omfattar 1,0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S 532-2023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6320124, E 587110 i SWEREF 99 TM.</w:t>
      </w:r>
    </w:p>
    <w:p>
      <w:r>
        <w:t>I och inom 16 meter från samrådsanmälan finns fynd av 3 naturvårdsarter, varav 1 är rödlistad, 1 är typisk (T) och 2 är signalarter (S): matt mjölbagge (VU), bokoxe (S, T) och tvåfläckig praktbagge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 mjölbagge (VU)</w:t>
      </w:r>
      <w:r>
        <w:t xml:space="preserve"> är en skalbagge vars larvutveckling sker i mulm i stamhåligheter av lövträd, främst i grova, ihåliga levande ekar. Arten påverkas negativt av brist på grova eller gamla träd och en minskning av populationen pågår eller förväntas ske. Minskningen avser kvalitén på artens habitat (SLU Artdatabanken, 2025).</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