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15307-2024 i Mönsterås kommun</w:t>
      </w:r>
    </w:p>
    <w:p>
      <w:r>
        <w:t>Detta klagomål behandlar höga naturvärden i avverkningsanmälan A 15307-2024 i Mönsterås kommun som inkom 2024-04-18 och omfattar 7,0 ha.</w:t>
      </w:r>
    </w:p>
    <w:p>
      <w:pPr>
        <w:pStyle w:val="Caption"/>
      </w:pPr>
      <w:r>
        <w:drawing>
          <wp:inline xmlns:a="http://schemas.openxmlformats.org/drawingml/2006/main" xmlns:pic="http://schemas.openxmlformats.org/drawingml/2006/picture">
            <wp:extent cx="5486400" cy="4509783"/>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4509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6324256, E 579390 i SWEREF 99 TM.</w:t>
      </w:r>
    </w:p>
    <w:p>
      <w:r>
        <w:t>I avverkningsanmälan finns fynd av 4 naturvårdsarter, varav 1 är rödlistad, 3 är fridlysta, 4 är typiska (T) och 1 är signalart (S): knärot (VU, T, §8), grönpyrola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25337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42533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