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41266-2021 i Mönsterås kommun</w:t>
      </w:r>
    </w:p>
    <w:p>
      <w:r>
        <w:t>Detta dokument behandlar höga naturvärden i avverkningsanmälan A 41266-2021 i Mönsterås kommun. Denna avverkningsanmälan inkom 2021-08-16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20 naturvårdsarter hittats: ekcylinderbagge (RE), blankpannad kalögonbroms (VU), Carphacis striatus (VU), Colydium elongatum (VU), glänsande blombagge (VU), hasselsnok (VU, §4a),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Grenplattnos (NT) </w:t>
      </w:r>
      <w:r>
        <w:t>är en skalbagge vars larvutveckling sker i tämligen hård, vitrötad lövträdsved, såväl i döda grenar på stående träd som i grenar som ligger på marken. Arten har vid flera tillfällen kläckts ur grenar eller klena stammar av hassel, ek, bok och avenbok, men också björk och asp anges som värdväxter. Arten hotas av en brist på lämpligt utvecklingssubstrat på grund av en ökad användning av vedflis från lövträd (SLU Artdatabanken, 2024).</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r>
        <w:rPr>
          <w:b/>
        </w:rPr>
        <w:t xml:space="preserve">Storplattnos (NT) </w:t>
      </w:r>
      <w:r>
        <w:t>är en skalbagge vars larvutveckling sker i fruktkroppar av olika dynsvampar på lövträd. I Sydsverige främst på bokdyna på bok, men även björkdyna på björk, och förmodligen även aldyna på al. Norrut främst på skiktdyna som gärna växer på brandskadad björk. Uppgifter från stubbdyna och fnöskticka finns också, liksom uppgifter om fynd på lind, avenbok och sälg. Larven lever först i själva fruktkroppen, och går sedan in i veden. De skattade värdena för förekomstarea ligger i närheten av gränsvärdet för Sårbar (VU). Detta i kombination med att utbredningsområdet förmodligen är kraftigt fragmenterat, extrema fluktuationer förmodligen förekommer och fortgående minskning förmodligen förekommer gör att arten uppfyller kriterierna för kategorin Nära hotad (NT). (B2ab(iii)c(iv))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