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Fyrtandad ekvedborre (NT) </w:t>
      </w:r>
      <w:r>
        <w:t>är en skalbagge vars larvutveckling sker i grova, nyligen döda stammar av framför allt ek, liggande eller stående, men även i nya ekstubbar (inklusive rotbenen). Lämpliga biotoper är ren ekskog, lövängar, hagmarker och parker med ek. Utanför Sverige är arten också funnen i bl.a. bok, alm och ask. Arten påverkas negativt av brist på död ved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 xml:space="preserve">Större sågsvartbagge (NT) </w:t>
      </w:r>
      <w:r>
        <w:t>är en skalbagge vars larvutveckling sker under bark och i murken ved som sönderdelats av andra vedinsekter i döda lövträd, bland annat av ek, bok, lind och sälg. Ofta i gångar av noshornsoxe (</w:t>
      </w:r>
      <w:r>
        <w:rPr>
          <w:i/>
        </w:rPr>
        <w:t>Sinodendron cylindricum</w:t>
      </w:r>
      <w:r>
        <w:t>) eller bokoxe (</w:t>
      </w:r>
      <w:r>
        <w:rPr>
          <w:i/>
        </w:rPr>
        <w:t>Dorcus</w:t>
      </w:r>
      <w:r>
        <w:t xml:space="preserve"> parallelepipedus). Arten påverkas negativt av brist på död ved och en minskning av populationen pågår eller förväntas ske. Minskningen avser kvalitén på artens habitat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