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10038-2021 i Mönsterås kommun</w:t>
      </w:r>
    </w:p>
    <w:p>
      <w:r>
        <w:t>Detta klagomål behandlar höga naturvärden i samrådsanmälan S 10038-2021 i Mönsterås kommun som inkom 2021-12-07 och omfattar 5,4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10038-2021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6326009, E 587024 i SWEREF 99 TM.</w:t>
      </w:r>
    </w:p>
    <w:p>
      <w:r>
        <w:t>I samrådsanmälan finns fynd av 11 naturvårdsarter, varav 7 är rödlistade, 3 är fridlysta, 4 är typiska (T) och 2 är signalarter (S): glänsande blombagge (VU), hjärtstilla (VU), linddyna (VU), enfärgad brandsvampbagge (NT), mindre hackspett (NT, T, §4), svartspetsad rödrock (NT), vårärt (NT, T), bokoxe (S, T), lindbock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Svartspetsad rödrock (NT) </w:t>
      </w:r>
      <w:r>
        <w:t>är en knäppare vars larvutveckling sker i murken ved av olika trädslag, främst lövträd som ek, bok och lind, t.ex. i rödmurkna partier av grova hålekar. Arten påverkas negativt av brist på död ved och en minskning av populationen pågår eller förväntas ske. Minskningen avser kvalitén på artens habitat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