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10103-2022 i Mönsterås kommun</w:t>
      </w:r>
    </w:p>
    <w:p>
      <w:r>
        <w:t>Denna tillsynsbegäran behandlar höga naturvärden i avverkningsanmälan A 10103-2022 i Mönsterås kommun som inkom 2022-03-01 och omfattar 1,5 ha.</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10103-2022 karta.png"/>
                    <pic:cNvPicPr/>
                  </pic:nvPicPr>
                  <pic:blipFill>
                    <a:blip r:embed="rId16"/>
                    <a:stretch>
                      <a:fillRect/>
                    </a:stretch>
                  </pic:blipFill>
                  <pic:spPr>
                    <a:xfrm>
                      <a:off x="0" y="0"/>
                      <a:ext cx="5486400" cy="4989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6337373, E 578868 i SWEREF 99 TM.</w:t>
      </w:r>
    </w:p>
    <w:p>
      <w:r>
        <w:t>I avverkningsanmälan finns fynd av 6 naturvårdsarter, varav 2 är rödlistade, 1 är fridlyst, 3 är typiska (T) och 3 är signalarter (S): jätteknäppare (NT), mindre träfjäril (NT), bronshjon (S, T), gulröd blankbock (S), trådticka (S, T)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Jätteknäppare (NT) </w:t>
      </w:r>
      <w:r>
        <w:t>är en skalbagge vars larvutveckling sker i solexponerade högstubbar av tall, främst i glesa naturskogsbestånd av tall. Fullbildade skalbaggar påträffas främst i juli-augusti, de är nattaktiva och dras till ljus. Arten påverkas negativt av brist på kontinuitetsskog och det föreligger indikation på eller misstanke om populationsminskning. Minskningen avser kvalitén på artens habitat (SLU Artdatabanken, 2026).</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Gulröd blankbock</w:t>
      </w:r>
      <w:r>
        <w:rPr>
          <w:b/>
          <w:i/>
        </w:rPr>
        <w:t xml:space="preserve"> </w:t>
      </w:r>
      <w:r>
        <w:t>är en långhorning vars larvutveckling sker i och under solexponerad, torr bark på döda grenar och stamdelar (ofta 15–30 cm diameter) av lövträd. I Sverige såvitt känt enbart på asp. Arten påverkas negativt av brist på död ved och det föreligger indikation på eller misstanke om populationsminskning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