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1302-2022 i Mönsterås kommun</w:t>
      </w:r>
    </w:p>
    <w:p>
      <w:r>
        <w:t>Denna tillsynsbegäran behandlar höga naturvärden i samrådsanmälan S 1302-2022 i Mönsterås kommun som inkom 2022-03-07 och omfattar 3,2 ha.</w:t>
      </w:r>
    </w:p>
    <w:p>
      <w:pPr>
        <w:pStyle w:val="Caption"/>
      </w:pPr>
      <w:r>
        <w:drawing>
          <wp:inline xmlns:a="http://schemas.openxmlformats.org/drawingml/2006/main" xmlns:pic="http://schemas.openxmlformats.org/drawingml/2006/picture">
            <wp:extent cx="5486400" cy="4717915"/>
            <wp:docPr id="1" name="Picture 1"/>
            <wp:cNvGraphicFramePr>
              <a:graphicFrameLocks noChangeAspect="1"/>
            </wp:cNvGraphicFramePr>
            <a:graphic>
              <a:graphicData uri="http://schemas.openxmlformats.org/drawingml/2006/picture">
                <pic:pic>
                  <pic:nvPicPr>
                    <pic:cNvPr id="0" name="S 1302-2022 karta.png"/>
                    <pic:cNvPicPr/>
                  </pic:nvPicPr>
                  <pic:blipFill>
                    <a:blip r:embed="rId16"/>
                    <a:stretch>
                      <a:fillRect/>
                    </a:stretch>
                  </pic:blipFill>
                  <pic:spPr>
                    <a:xfrm>
                      <a:off x="0" y="0"/>
                      <a:ext cx="5486400" cy="4717915"/>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6340889, E 570480 i SWEREF 99 TM.</w:t>
      </w:r>
    </w:p>
    <w:p>
      <w:r>
        <w:t>I samrådsanmälan finns fynd av 9 naturvårdsarter, varav 1 är rödlistad, 5 är fridlysta, 5 är typiska (T) och 4 är signalarter (S): kattfotslav (NT, T), blåmossa (S, T), grön sköldmossa (S, T, §8), rostfläck (S, T), stubbspretmossa (S, T), gröngöling (§4), kungsfågel (§4), skogsduva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kattfotslav (NT, T), blåmossa (S, T), grön sköldmossa (S, T, §8), rostfläck (S, T) och stubbspretmossa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