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2786-2026 i Mönsterås kommun</w:t>
      </w:r>
    </w:p>
    <w:p>
      <w:r>
        <w:t>Denna tillsynsbegäran behandlar höga naturvärden i samrådsanmälan S 2786-2026 i Mönsterås kommun som inkom 2026-10-23 och omfattar 7,2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278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6325813, E 587000 i SWEREF 99 TM.</w:t>
      </w:r>
    </w:p>
    <w:p>
      <w:r>
        <w:t>I samrådsanmälan finns fynd av 14 naturvårdsarter, varav 8 är rödlistade, 3 är fridlysta, 6 är typiska (T) och 4 är signalarter (S): glänsande blombagge (VU), hjärtstilla (VU), linddyna (VU), enfärgad brandsvampbagge (NT), mindre hackspett (NT, T, §4), oxtungssvamp (NT), svartspetsad rödrock (NT), vårärt (NT, T), bokoxe (S, T), fällmossa (S, T), guldlockmossa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vårärt (NT, T), bokoxe (S, T), fällmossa (S, T), guldlockmossa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