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21915-2019 i Mönsterås kommun</w:t>
      </w:r>
    </w:p>
    <w:p>
      <w:r>
        <w:t>Detta dokument behandlar höga naturvärden i avverkningsanmälan A 21915-2019 i Mönsterås kommun. Denna avverkningsanmälan inkom 2019-04-29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asppraktbagge (NT), ekticka (NT), reliktbock (NT), rödbrun blankbock (NT), tallticka (NT), blanksvart trämyra (S), blomkålssvamp (S)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4223"/>
            <wp:docPr id="1" name="Picture 1"/>
            <wp:cNvGraphicFramePr>
              <a:graphicFrameLocks noChangeAspect="1"/>
            </wp:cNvGraphicFramePr>
            <a:graphic>
              <a:graphicData uri="http://schemas.openxmlformats.org/drawingml/2006/picture">
                <pic:pic>
                  <pic:nvPicPr>
                    <pic:cNvPr id="0" name="A 21915-2019 karta.png"/>
                    <pic:cNvPicPr/>
                  </pic:nvPicPr>
                  <pic:blipFill>
                    <a:blip r:embed="rId16"/>
                    <a:stretch>
                      <a:fillRect/>
                    </a:stretch>
                  </pic:blipFill>
                  <pic:spPr>
                    <a:xfrm>
                      <a:off x="0" y="0"/>
                      <a:ext cx="5486400" cy="3494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6317851, E 577958 i SWEREF 99 TM.</w:t>
      </w:r>
    </w:p>
    <w:p>
      <w:r>
        <w:rPr>
          <w:b/>
        </w:rPr>
        <w:t>Asppraktbagge (NT)</w:t>
      </w:r>
      <w:r>
        <w:t xml:space="preserve"> är en skalbagge vars larvutveckling sker i tjock, solexponerad bark och ibland även i den yttersta veden vid basen på levande, medelstora och grova aspar. Glesa lövskogar och olika slags solöppna miljöer med gammal asp bör bibehållas genom utglesning av beskuggande trädskikt, framförallt yngre gran som ofta trivs på samma marker som asp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