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klagomål behandlar höga naturvärden i avverkningsanmälan A 41266-2021 i Mönsterås kommun som inkom 2021-08-16 och omfattar 11,8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6336032, E 575488 i SWEREF 99 TM.</w:t>
      </w:r>
    </w:p>
    <w:p>
      <w:r>
        <w:t>I och inom 2 meter från avverkningsanmälan finns fynd av 16 naturvårdsarter, varav 12 är rödlistade, 1 är fridlyst, 2 är typiska (T) och 3 är signalarter (S): blankpannad kalögonbroms (VU), Colydium elongatum (VU), glänsande blombagge (VU), hasselsnok (VU, §4a), Notolaemus unifasciatus (VU), aspstumpbagge (NT), Carphacis striatus (NT), enfärgad brandsvampbagge (NT), furuvedvivel (NT), grenplattnos (NT), Homalocephala bimaculata (NT), Mordellistena pygmaeola (DD), noshornsoxe (S), spindelbock (S), åttafläckig praktbagge (S, T) och sotpraktbagge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Colydium elongatum </w:t>
      </w:r>
      <w:r>
        <w:rPr>
          <w:b/>
        </w:rPr>
        <w:t>(VU)</w:t>
      </w:r>
      <w:r>
        <w:t xml:space="preserve"> är en barkbagge vars larvutveckling sker i gångar av barkborrar och andra insekter i bark och ved av olika barr- och lövträd. Att döma av preliminära observationer verkar arten i Norden kunna utnyttja såväl lövträd, t.ex. ek och björk, som barrträd. Arten påverkas negativt av brist på död ved och det föreligger indikation på eller misstanke om populationsminskning (SLU Artdatabanken, 2026).</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