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507-2023 i Mönsterås kommun</w:t>
      </w:r>
    </w:p>
    <w:p>
      <w:r>
        <w:t>Detta klagomål behandlar höga naturvärden i samrådsanmälan S 507-2023 i Mönsterås kommun som inkom 2023-02-09 och omfattar 46,1 ha.</w:t>
      </w:r>
    </w:p>
    <w:p>
      <w:pPr>
        <w:pStyle w:val="Caption"/>
      </w:pPr>
      <w:r>
        <w:drawing>
          <wp:inline xmlns:a="http://schemas.openxmlformats.org/drawingml/2006/main" xmlns:pic="http://schemas.openxmlformats.org/drawingml/2006/picture">
            <wp:extent cx="5284530" cy="5724000"/>
            <wp:docPr id="1" name="Picture 1"/>
            <wp:cNvGraphicFramePr>
              <a:graphicFrameLocks noChangeAspect="1"/>
            </wp:cNvGraphicFramePr>
            <a:graphic>
              <a:graphicData uri="http://schemas.openxmlformats.org/drawingml/2006/picture">
                <pic:pic>
                  <pic:nvPicPr>
                    <pic:cNvPr id="0" name="S 507-2023 karta.png"/>
                    <pic:cNvPicPr/>
                  </pic:nvPicPr>
                  <pic:blipFill>
                    <a:blip r:embed="rId16"/>
                    <a:stretch>
                      <a:fillRect/>
                    </a:stretch>
                  </pic:blipFill>
                  <pic:spPr>
                    <a:xfrm>
                      <a:off x="0" y="0"/>
                      <a:ext cx="528453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6318041, E 580179 i SWEREF 99 TM.</w:t>
      </w:r>
    </w:p>
    <w:p>
      <w:r>
        <w:t>I samrådsanmälan finns fynd av 3 naturvårdsarter, varav 1 är rödlistad, 3 är fridlysta och 1 är typisk (T): skrattmås (NT, §4), spillkråka (T,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