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23879-2024 i Mönsterås kommun</w:t>
      </w:r>
    </w:p>
    <w:p>
      <w:r>
        <w:t>Denna tillsynsbegäran behandlar höga naturvärden i avverkningsanmälan A 23879-2024 i Mönsterås kommun som inkom 2024-06-12 och omfattar 0,6 ha.</w:t>
      </w:r>
    </w:p>
    <w:p>
      <w:pPr>
        <w:pStyle w:val="Caption"/>
      </w:pPr>
      <w:r>
        <w:drawing>
          <wp:inline xmlns:a="http://schemas.openxmlformats.org/drawingml/2006/main" xmlns:pic="http://schemas.openxmlformats.org/drawingml/2006/picture">
            <wp:extent cx="5232247" cy="5724000"/>
            <wp:docPr id="1" name="Picture 1"/>
            <wp:cNvGraphicFramePr>
              <a:graphicFrameLocks noChangeAspect="1"/>
            </wp:cNvGraphicFramePr>
            <a:graphic>
              <a:graphicData uri="http://schemas.openxmlformats.org/drawingml/2006/picture">
                <pic:pic>
                  <pic:nvPicPr>
                    <pic:cNvPr id="0" name="A 23879-2024 karta.png"/>
                    <pic:cNvPicPr/>
                  </pic:nvPicPr>
                  <pic:blipFill>
                    <a:blip r:embed="rId16"/>
                    <a:stretch>
                      <a:fillRect/>
                    </a:stretch>
                  </pic:blipFill>
                  <pic:spPr>
                    <a:xfrm>
                      <a:off x="0" y="0"/>
                      <a:ext cx="5232247"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6311333, E 587395 i SWEREF 99 TM.</w:t>
      </w:r>
    </w:p>
    <w:p>
      <w:r>
        <w:t>I och inom 14 meter från avverkningsanmälan finns fynd av 3 naturvårdsarter, varav 1 är rödlistad, 2 är typiska (T) och 2 är signalarter (S): ekticka (NT, T), grå skärelav (S) och gulnål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