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25811-2025 i Mönsterås kommun</w:t>
      </w:r>
    </w:p>
    <w:p>
      <w:r>
        <w:t>Detta dokument behandlar höga naturvärden i avverkningsanmälan A 25811-2025 i Mönsterås kommun. Denna avverkningsanmälan inkom 2025-05-27 och omfattar 7,6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7 naturvårdsarter hittats: spillkråka (NT, §4), tallticka (NT), vedskivlav (NT), blåmossa (S), grönsiska (§4), åkergroda (§4a) och revlummer (§9). Av dessa är 3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321350"/>
            <wp:docPr id="1" name="Picture 1"/>
            <wp:cNvGraphicFramePr>
              <a:graphicFrameLocks noChangeAspect="1"/>
            </wp:cNvGraphicFramePr>
            <a:graphic>
              <a:graphicData uri="http://schemas.openxmlformats.org/drawingml/2006/picture">
                <pic:pic>
                  <pic:nvPicPr>
                    <pic:cNvPr id="0" name="A 25811-2025 karta.png"/>
                    <pic:cNvPicPr/>
                  </pic:nvPicPr>
                  <pic:blipFill>
                    <a:blip r:embed="rId16"/>
                    <a:stretch>
                      <a:fillRect/>
                    </a:stretch>
                  </pic:blipFill>
                  <pic:spPr>
                    <a:xfrm>
                      <a:off x="0" y="0"/>
                      <a:ext cx="5486400" cy="432135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6338743, E 571186 i SWEREF 99 TM.</w:t>
      </w:r>
    </w:p>
    <w:p>
      <w:r>
        <w:rPr>
          <w:b/>
        </w:rPr>
        <w:t xml:space="preserve">Blåmossa </w:t>
      </w:r>
      <w:r>
        <w:t>har karaktäristiska kuddar som är lätta att se på långt håll. Mycket stora kuddar, större än 0,5 meter i höjd, indikerar höga naturvärden där skogen har en lång period av orördhet oh stabila miljöförhållanden. Mossan växer under gynnsamma omständigheter cirka 1 centimeter per år och stora kuddar kan därför indirekt visa att lokalen varit lämplig under en lång tid (Nitare &amp; Skogsstyrelsen, 2019).</w:t>
      </w:r>
    </w:p>
    <w:p>
      <w:r>
        <w:rPr>
          <w:b/>
        </w:rPr>
        <w:t xml:space="preserve">Tallticka (NT) </w:t>
      </w:r>
      <w:r>
        <w:t>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(SLU Artdatabanken, 2023; Nitare &amp; Skogsstyrelsen, 2019).</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(SLU Artdatabanken, 2024).</w:t>
      </w:r>
    </w:p>
    <w:p>
      <w:pPr>
        <w:pStyle w:val="Heading1"/>
      </w:pPr>
      <w:r>
        <w:t>Fridlysta arter</w:t>
      </w:r>
    </w:p>
    <w:p>
      <w:r>
        <w:t>Följande fridlysta arter har sina livsmiljöer och växtplatser i den avverkningsanmälda skogen: spillkråka (NT, §4), grönsiska (§4), åkergroda (§4a) och revlummer (§9).</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7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2025-07-14</w:t>
      <w:br/>
      <w:br/>
    </w:r>
    <w:r>
      <w:t>Till: Övriga Aktiebolag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