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som inkom 2021-08-16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16 naturvårdsarter hittats: blankpannad kalögonbroms (VU), Colydium elongatum (VU), glänsande blombagge (VU), hasselsnok (VU, §4a), Notolaemus unifasciatus (VU), aspstumpbagge (NT), Carphacis striatus (NT), enfärgad brandsvampbagge (NT), furuvedvivel (NT), grenplattnos (NT), Homalocephala bimaculata (NT), Mordellistena pygmaeola (DD), noshornsoxe (S), spindelbock (S), åttafläckig praktbagge (S, T) och sotpraktbagge (T).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32808" cy="568800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4532808"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2"/>
      </w:pPr>
      <w:r>
        <w:t>Fridlysta arter</w:t>
      </w:r>
    </w:p>
    <w:p>
      <w:r>
        <w:t>Följande fridlysta arter har sina livsmiljöer och växtplatser i den avverkningsanmälda skogen: hasselsnok (VU, §4a).</w:t>
      </w:r>
    </w:p>
    <w:p>
      <w:pPr>
        <w:pStyle w:val="Heading2"/>
      </w:pPr>
      <w:r>
        <w:t>Övriga naturvårdsarter</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i/>
        </w:rPr>
        <w:t xml:space="preserve">Colydium elongatum </w:t>
      </w:r>
      <w:r>
        <w:rPr>
          <w:b/>
        </w:rPr>
        <w:t>(VU)</w:t>
      </w:r>
      <w:r>
        <w:t xml:space="preserve"> är en barkbagge vars larvutveckling sker i gångar av barkborrar och andra insekter i bark och ved av olika barr- och lövträd. Att döma av preliminära observationer verkar arten i Norden kunna utnyttja såväl lövträd, t.ex. ek och björk, som barrträd. Arten påverkas negativt av brist på död ved och det föreligger indikation på eller misstanke om populationsminskning (SLU Artdatabanken, 2026).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