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10103-2022 i Mönsterås kommun</w:t>
      </w:r>
    </w:p>
    <w:p>
      <w:r>
        <w:t>Detta dokument behandlar höga naturvärden i avverkningsanmälan A 10103-2022 i Mönsterås kommun. Denna avverkningsanmälan inkom 2022-03-01 18:45:08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jätteknäppare (VU), grön aspvedbock (NT), mindre timmerman (NT), mindre träfjäril (NT), bronshjon (S) och gulröd blankbock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3532"/>
            <wp:docPr id="1" name="Picture 1"/>
            <wp:cNvGraphicFramePr>
              <a:graphicFrameLocks noChangeAspect="1"/>
            </wp:cNvGraphicFramePr>
            <a:graphic>
              <a:graphicData uri="http://schemas.openxmlformats.org/drawingml/2006/picture">
                <pic:pic>
                  <pic:nvPicPr>
                    <pic:cNvPr id="0" name="A 10103-2022 karta.png"/>
                    <pic:cNvPicPr/>
                  </pic:nvPicPr>
                  <pic:blipFill>
                    <a:blip r:embed="rId16"/>
                    <a:stretch>
                      <a:fillRect/>
                    </a:stretch>
                  </pic:blipFill>
                  <pic:spPr>
                    <a:xfrm>
                      <a:off x="0" y="0"/>
                      <a:ext cx="5486400" cy="4983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6337373, E 578868 i SWEREF 99 TM.</w:t>
      </w:r>
    </w:p>
    <w:p>
      <w:r>
        <w:rPr>
          <w:b/>
        </w:rPr>
        <w:t>Grön aspvedbock (NT)</w:t>
      </w:r>
      <w:r>
        <w:t xml:space="preserve"> är en skalbagge vars larvutveckling sker under tjock bark på nyligen döda stammar och grova grenar (&gt;5 cm diameter) av lövträd, i Sverige nästan uteslutande asp. Främsta hotet är bristen på gammal aspskog. Skogsbruket har under lång tid missgynnat asp, och det är idag på många håll ovanligt med gamla lövrika skogar. Inom skogsbruket bör man spara aspar vid röjning, gallring och slutavverkning, och därmed få andelen lövskog att öka i hela skogslandskapet. Bruket att ringbarka gamla aspar för att motverka rotskott bör upphöra (SLU Artdatabanken, 2024).</w:t>
      </w:r>
    </w:p>
    <w:p>
      <w:r>
        <w:rPr>
          <w:b/>
        </w:rPr>
        <w:t>Mindre träfjäril (NT)</w:t>
      </w:r>
      <w:r>
        <w:t xml:space="preserve"> förekommer i främst lite torrare klimatzoner på grövre, särskilt utvalda aspar i ljusa blandskogar och skogsridåer med lång kontinuitet av grova aspträd. I gynnsamma miljöer angrips samma träd under en lång följd av år och dessa träd igenkänns lättare på håll genom att larvens skadegörelse förorsakar savning som gynnar en svart alg. Hårt angripna aspar utvecklar kräftliknande symptom och får en ansvällning av det angripna stampartiet. Det runda kläckhålet är centimeterstort med en puppgång som sträcker sig 20 cm in i trädet. Beroendet av kontinuitet, stora träd och ej sluten skog gör att arten missgynnas i rationellt brukade skogsområden. Eftersom habitatet är kontinuitetsbestånd av äldre grova aspar är artens livsmiljöer idag fragmenterade. Skogsbruket avverkar åtskilliga aspar som är lämpliga eller kan bli det framöver och solitärer som sparas blåser ofta omkull efter några år och blir obrukbara för fjärilen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