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20013-2023 i Mönsterås kommun</w:t>
      </w:r>
    </w:p>
    <w:p>
      <w:r>
        <w:t>Detta dokument behandlar höga naturvärden i avverkningsanmälan A 20013-2023 i Mönsterås kommun. Denna avverkningsanmälan inkom 2023-05-08 00:00:00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barbastell (NT, §4a), brunlångöra (NT, §4a), nordfladdermus (NT, §4a), sydfladdermus (NT, §4a), dvärgpipistrell (§4a), större brunfladdermus (§4a) och vattenfladdermus (§4a).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5564"/>
            <wp:docPr id="1" name="Picture 1"/>
            <wp:cNvGraphicFramePr>
              <a:graphicFrameLocks noChangeAspect="1"/>
            </wp:cNvGraphicFramePr>
            <a:graphic>
              <a:graphicData uri="http://schemas.openxmlformats.org/drawingml/2006/picture">
                <pic:pic>
                  <pic:nvPicPr>
                    <pic:cNvPr id="0" name="A 20013-2023 karta.png"/>
                    <pic:cNvPicPr/>
                  </pic:nvPicPr>
                  <pic:blipFill>
                    <a:blip r:embed="rId16"/>
                    <a:stretch>
                      <a:fillRect/>
                    </a:stretch>
                  </pic:blipFill>
                  <pic:spPr>
                    <a:xfrm>
                      <a:off x="0" y="0"/>
                      <a:ext cx="5486400" cy="5375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6325504, E 577654 i SWEREF 99 TM.</w:t>
      </w:r>
    </w:p>
    <w:p>
      <w:pPr>
        <w:pStyle w:val="Heading1"/>
      </w:pPr>
      <w:r>
        <w:t>Fridlysta arter</w:t>
      </w:r>
    </w:p>
    <w:p>
      <w:r>
        <w:t>Följande fridlysta arter har sina livsmiljöer och växtplatser i den avverkningsanmälda skogen: barbastell (NT, §4a), brunlångöra (NT, §4a), nordfladdermus (NT, §4a), sydfladdermus (NT, §4a), dvärgpipistrell (§4a), större brunfladdermus (§4a) och vattenfladdermus (§4a).</w:t>
      </w:r>
    </w:p>
    <w:p>
      <w:r>
        <w:rPr>
          <w:b/>
        </w:rPr>
        <w:t xml:space="preserve">Barbastell (NT, §4a) </w:t>
      </w:r>
      <w:r>
        <w:t>omfattas av bilaga 2 och 4 EU:s art- och habitatdirektiv vilket innebär att arten och dess livsmiljöer är strikt skyddade samt att Natura 2000-områden ska inrättas. Den är globalt rödlistad som nära hotad (NT) och i den europeiska rödlistan är den klassad som sårbar (VU). Barbastell omfattas av ett åtgärdsprogram för hotade arter (ÅGP) och inför upprättandet av åtgärdsprogrammet för arten 2015, konstaterade EU-kommissionen att Sverige inte skyddat tillräckligt med områden för arten i boreal biogeografisk region. (SLU Artdatabanken, 2024; Ahlén, 2015).</w:t>
      </w:r>
    </w:p>
    <w:p>
      <w:r>
        <w:t>Barbastellen föredrar ett halvöppet landskap med betes- och slåttermarker och gamla bondeskogar där den är speciellt inriktad på att ta fjärilar, framför allt småfjärilar, men även andra smådjursgrupper, t.ex. tvåvingar och spindlar.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rPr>
          <w:b/>
        </w:rPr>
        <w:t>Brunlångöra (NT, §4a)</w:t>
      </w:r>
      <w:r>
        <w:t xml:space="preserve"> omfattas av bilaga 4 EU:s art- och habitatdirektiv vilket innebär att arten och dess livsmiljöer är strikt skyddade. Brunlångöra förekommer framförallt inne i relativt tät skog men födosöker också i trädgårdar, parker och hagar. Den har minskat med 17,5 (5–30) % under de senaste 21 åren och minskningstakten för den svenska populationen bedöms vara nära gränsvärdet för Sårbar (VU). (A2bc) (SLU Artdatabanken, 2024).</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Sydfladdermus (NT, §4a)</w:t>
      </w:r>
      <w:r>
        <w:t xml:space="preserve">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Sydfladdermus hör till de arter som är mer utsatta för vindkraft på grund av sitt jaktbeteende där den under hösten ofta födosöker på hög höjd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Barbastell – ekologi samt krav på livsmiljön</w:t>
      </w:r>
    </w:p>
    <w:p>
      <w:r>
        <w:t>Barbastell (NT, §4a) omfattas av bilaga 2 och 4 EU:s art- och habitatdirektiv vilket innebär att arten och dess livsmiljöer är strikt skyddade samt att Natura 2000-områden ska inrättas. Barbastell är globalt rödlistad som nära hotad (NT) och i den europeiska rödlistan är den klassad som sårbar (VU). Den omfattas av ett åtgärdsprogram för hotade arter (ÅGP) och inför upprättandet av åtgärdsprogrammet för arten 2015, konstaterade EU-kommissionen att Sverige inte skyddat tillräckligt med områden för barbastell i boreal biogeografisk region (SLU Artdatabanken, 2024; Ahlén, 2015).</w:t>
      </w:r>
    </w:p>
    <w:p>
      <w:r>
        <w:t>Barbastellen förekommer från Skåne och Blekinge i söder till Västra Götaland och Östergötland i norr. Den föredrar ett halvöppet landskap med betes- och slåttermarker och gamla bondeskogar där den är speciellt inriktad på att ta fjärilar, framför allt småfjärilar, men även andra smådjursgrupper, t.ex. tvåvingar och spindlar.  Utvecklingen på Sydsvenska höglandet där huvuddelen av populationen finns är osäker och pågående landskapsförändringar befaras kunna leda till minskning med regionala och lokala försvinnande inom den kommande 21 års perioden. Minskningstakten för den svenska populationen bedöms vara nära gränsvärdet för Sårbar (VU). (A3c) (SLU Artdatabanken, 2024; Ahlén, 2015).</w:t>
      </w:r>
    </w:p>
    <w:p>
      <w:r>
        <w:t>Kärnområdet i norra Småland och södra Östergötland kännetecknas av äldre genuin gårdsbebyggelse, ofta i byar med flera näraliggande gårdar och ladugårdar. I omgivningarna finns vanligen rikligt med äldre, grova tidigare hamlade träd och andra äldre lövträd, beteshagar och ängar, gärna med översilningsmark och kärr. Trädgårdar av äldre typ, icke alltför intensivt skötta, utgör också en viktig jaktbiotop. Barbastell jagar mest i närområdet kring kolonierna, men gör också regelbundet besök i skogsområdena runtom och jagar där bl.a. i äldre typ av skog som ännu bär spår av utmarksbete. Data från både västra och östra Småland visar att de regelbundet flyger minst 4 km från kolonimiljöerna. Mycket av dessa skogar har avverkats och ersatts av kalhyggen och planterade ungskogar vilket troligen är huvudorsaken till försvinnandet av flera kolonier och populationens tillbakagång i norra delen av utbredningsområdet (SLU Artdatabanken, 2024; Ahlén, 2015).</w:t>
      </w:r>
    </w:p>
    <w:p>
      <w:r>
        <w:t>Eftersom det handlar om rörliga djur som snabbt förflyttar sig över stora områden, måste det inte alltid vara ett sammanhängande skyddat område utan huvudsaken är att man bevarar tillräcklig mängd viktiga miljöer i ett område på ca 15–20 km2. Bevarande av livsmiljöer är särskilt relevant i gammaldags utmarksskog eftersom det är en biotop som drastiskt minskat och hotas av skogsbruk. Om sådan skog kalavverkas och ersätts av ett plantageskogsbruk är förutsättningarna för förekomst av barbastell förstörda för lång tid framåt. Bevarandet av de miljöer som barbastellen är beroende av skogsbrukets och jordbrukets miljöhänsyn. Ett anpassat skogsbruk, med kontinuitetskogsbruk samt bevarande av brynmiljöer i skogs- och jordbrukslandskapet är viktiga åtgärder (SLU Artdatabanken, 2024; Ahlén, 2015).</w:t>
      </w:r>
    </w:p>
    <w:p>
      <w:r>
        <w:t>Under året utnyttjar fladdermössen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En förändring från småskalig till mer storskalig fragmentering av skogsmark är negativt. Om insektsrika biotoper som fuktiga äldre skogar och betesmarker blir alltför glest förekommande så försvinner underlaget för att kunna bilda kolonier. Dränering av skogsmark, igenplantering av betesmarker, minskad lövrikedom, försämrad brynkvalitet är exempel på åtgärder som kan påverka habitatkvaliteten negativt. De viktigaste områdena för barbastellen bör säkras inom Natura 2000-nätverket enligt Habitatdirektivets bilaga 2 (SLU Artdatabanken, 2024; Ahlén, 2015).</w:t>
      </w:r>
    </w:p>
    <w:p>
      <w:pPr>
        <w:pStyle w:val="Heading2"/>
      </w:pPr>
      <w:r>
        <w:t>Referenser – barbastell</w:t>
      </w:r>
    </w:p>
    <w:p>
      <w:r>
        <w:t xml:space="preserve">Ahlén, I., 2015. </w:t>
      </w:r>
      <w:r>
        <w:rPr>
          <w:i/>
        </w:rPr>
        <w:t>Åtgärdsprogram för barbastell, 2015–2019 (Barbastella barbastellus)</w:t>
      </w:r>
      <w:r>
        <w:t>. Naturvårdsverket. Rapport: 6532. https://www.naturvardsverket.se/om-oss/publikationer/6500/atgardsprogram-barbastell</w:t>
      </w:r>
    </w:p>
    <w:p>
      <w:r>
        <w:t xml:space="preserve">SLU Artdatabanken, 2024. </w:t>
      </w:r>
      <w:r>
        <w:rPr>
          <w:i/>
        </w:rPr>
        <w:t xml:space="preserve">Artfakta: barbastell (Barbastella barbastellus). </w:t>
      </w:r>
      <w:r>
        <w:t>https://artfakta.se/taxa/100015</w:t>
      </w:r>
    </w:p>
    <w:p>
      <w:pPr>
        <w:pStyle w:val="Heading1"/>
      </w:pPr>
      <w:r>
        <w:t>Brunlångöra – ekologi samt krav på livsmiljön</w:t>
      </w:r>
    </w:p>
    <w:p>
      <w:r>
        <w:t>Brunlångöra (NT, §4a) omfattas av bilaga 4 EU:s art- och habitatdirektiv vilket innebär ett strikt skydd för arten och dess livsmiljöer. Den har minskat med 17,5 (5–30) % under de senaste 21 åren och minskningstakten för den svenska populationen bedöms vara nära gränsvärdet för Sårbar (VU). (A2bc) (SLU Artdatabanken, 2024).</w:t>
      </w:r>
    </w:p>
    <w:p>
      <w:r>
        <w:t>Brunlångöra förekommer framförallt inne i relativt tät skog men födosöker också runt hus, i parker, trädgårdar och hagar. Arten har ett mycket karakteristiskt jaktbeteende då den flyger tätt intill vegetationen så som träd och buskar eller lågt över marken där den plockar insekter och spindlar direkt från blad, grenar och grässtrån. Arten kan till och med ryttla, stå stilla i luften med fladdrande vingar. Kolonierna finns ofta i stora byggnader som kyrkor, lador och magasin. Arten påverkas negativt av belysning, och en kraftig minskning har observerats på ett antal koloniplatser i södra Sverige (SLU Artdatabanken, 2024).</w:t>
      </w:r>
    </w:p>
    <w:p>
      <w:r>
        <w:t>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brunlångöra</w:t>
      </w:r>
    </w:p>
    <w:p>
      <w:r>
        <w:t>SLU Artdatabanken, 2024.</w:t>
      </w:r>
      <w:r>
        <w:rPr>
          <w:i/>
        </w:rPr>
        <w:t xml:space="preserve"> Artfakta: brunlångöra (Plecotus auritus). </w:t>
      </w:r>
      <w:r>
        <w:t>https://artfakta.se/taxa/206002</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Sydfladdermus – ekologi samt krav på livsmiljön</w:t>
      </w:r>
    </w:p>
    <w:p>
      <w:r>
        <w:t>Sydfladdermus (NT, §4a) omfattas av bilaga 4 EU:s art- och habitatdirektiv vilket innebär att arten och dess livsmiljöer är strikt skyddade. Den födosöker i halvöppna miljöer som glesa skogar, skogskanter, trädbärande betesmarker, gårdsmiljöer, bryn och parker och äter framförallt lite större byten av skalbaggar, nattfjärilar och myggor. Gatlampor drar till sig mycket insekter och arten kan därför ses patrullera dessa på jakt efter föda. Sydfladdermus hör till de arter som är mer utsatta för vindkraft på grund av sitt jaktbeteende där den under hösten ofta födosöker på hög höjd (SLU Artdatabanken, 2024).</w:t>
      </w:r>
    </w:p>
    <w:p>
      <w:r>
        <w:t>Under året utnyttjar fladdermöss många olika miljöer och ett effektivt bevarandearbete måste därför utgå från ett landskapsekologiskt perspektiv. Den viktigaste faktorn för om fladdermössen ska kunna leva i ett område är tillgången på föda i form av nattaktiva insekter. Ett bra hemområde måste erbjuda god födotillgång under hela aktivitetsperioden. Åtgärder som bevarar och gynnar en hög insektsproduktion är därför centrala. I ett varierat landskap med hög andel äldre lövträd, småvatten, sumpskogar, öppna våtmarker, ängar och betesmarker avlöser olika insektsgrupper varandra vilket gör att det hela tiden finns tillräckligt med föda (SLU Artdatabanken, 2024).</w:t>
      </w:r>
    </w:p>
    <w:p>
      <w:pPr>
        <w:pStyle w:val="Heading2"/>
      </w:pPr>
      <w:r>
        <w:t>Referenser – sydfladdermus</w:t>
      </w:r>
    </w:p>
    <w:p>
      <w:r>
        <w:t>SLU Artdatabanken, 2024.</w:t>
      </w:r>
      <w:r>
        <w:rPr>
          <w:i/>
        </w:rPr>
        <w:t xml:space="preserve"> Artfakta: sydfladdermus (Eptesicus serotinus)</w:t>
      </w:r>
      <w:r>
        <w:t>. https://artfakta.se/taxa/100051</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