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55371-2020 i Mönsterås kommun</w:t>
      </w:r>
    </w:p>
    <w:p>
      <w:r>
        <w:t>Detta dokument behandlar höga naturvärden i avverkningsanmälan A 55371-2020 i Mönsterås kommun. Denna avverkningsanmälan inkom 2020-10-26 00:00:00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havsörn (NT, §4), kungsörn (NT, §4), spillkråka (NT, §4), blomskägglav (S)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55371-2020 karta.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6341093, E 572478 i SWEREF 99 TM.</w:t>
      </w:r>
    </w:p>
    <w:p>
      <w:r>
        <w:rPr>
          <w:b/>
        </w:rPr>
        <w:t>Blomskägglav</w:t>
      </w:r>
      <w:r>
        <w:t xml:space="preserve"> är en ljusälskande och fuktighetskrävande art som framför allt växer på ek högt upp i trädkronorna, där den sitter på ovansidan av klena grenar. Blomskägglav är en bra signalart, speciellt för artfattiga ekskogar med få andra signalarter och ekar i skogsbryn med rika bestånd av olika skägglavar bör regelmässigt sparas (SLU Artdatabanken, 2024; Nitare &amp; Skogsstyrelsen, 2019).</w:t>
      </w:r>
    </w:p>
    <w:p>
      <w:pPr>
        <w:pStyle w:val="Heading1"/>
      </w:pPr>
      <w:r>
        <w:t>Fridlysta arter</w:t>
      </w:r>
    </w:p>
    <w:p>
      <w:r>
        <w:t>Följande fridlysta arter har sina livsmiljöer och växtplatser i den avverkningsanmälda skogen: havsörn (NT, §4), kungsörn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