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41266-2021 i Mönsterås kommun</w:t>
      </w:r>
    </w:p>
    <w:p>
      <w:r>
        <w:t>Detta dokument behandlar höga naturvärden i avverkningsanmälan A 41266-2021 i Mönsterås kommun. Denna avverkningsanmälan inkom 2021-08-16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ekcylinderbagge (RE), blankpannad kalögonbroms (VU), Carphacis striatus (VU), Colydium elongatum (VU), glänsande blombagge (VU), hasselsnok (VU, §4a),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41266-2021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p>
      <w:r>
        <w:rPr>
          <w:b/>
        </w:rPr>
        <w:t>Ekgrenbock (NT)</w:t>
      </w:r>
      <w:r>
        <w:t xml:space="preserve"> är en skalbagge vars larvutveckling sker i torr, solexponerad, nyligen död ved i kvistar och grenar (1–4 cm diameter) av främst ek men även lind och hassel. Det främsta hotet är bristande tillgång på färsk ekved i form av kvistar och småträd i solexponerade lägen, vilket delvis beror på uttag av grenar och röjningsrester som biobränsle. Dessutom leder uttag av biobränsle som blivit äggbelagt till lokala populationsförluster. Arten missgynnas också av att lövskogar med ek växer igen med främst gran och därmed blir skuggiga och ogästvänliga miljöer. Ekgrenbock ingår i ett åtgärdsprogram för hotade arter (ÅGP) (SLU Artdatabanken, 2024; Franc, 2013).</w:t>
      </w:r>
    </w:p>
    <w:p>
      <w:r>
        <w:rPr>
          <w:b/>
        </w:rPr>
        <w:t>Enfärgad brandsvampbagge (NT)</w:t>
      </w:r>
      <w:r>
        <w:t xml:space="preserve"> är en skalbagge vars larvutveckling sker olika arter av kärnsvampar i svampangripen bark av lövträd, i främst nyligen död bark av lind angripen av linddyna (</w:t>
      </w:r>
      <w:r>
        <w:rPr>
          <w:i/>
        </w:rPr>
        <w:t xml:space="preserve">Biscogniauxia cinereolilacina). </w:t>
      </w:r>
      <w:r>
        <w:t>Arten är även påträffad på flera andra trädslag som bok, ek, avenbok och sälg varför den även tycks utnyttja andra svamparter som föda. Allt bör göras för att spara de gamla lindarna, främst i Mälardalen. Både denna och flera andra rödlistade arter med mycket begränsad utbredning i norra Europa behöver dessa träd för att överleva. Det är även viktigt att nedfallna grenar och stamdelar får ligga kvar på lokalen. Om dessa hindrar utnyttjandet av marken kan de fraktas åt sidan och sparas på solbelysta platser i närheten. Enfärgad brandsvampbagge ingår i ett åtgärdsprogram för hotade arter (ÅGP) (SLU Artdatabanken, 2024; Ehnström, 2006).</w:t>
      </w:r>
    </w:p>
    <w:p>
      <w:r>
        <w:rPr>
          <w:b/>
        </w:rPr>
        <w:t xml:space="preserve">Grenplattnos (NT) </w:t>
      </w:r>
      <w:r>
        <w:t>är en skalbagge vars larvutveckling sker i tämligen hård, vitrötad lövträdsved, såväl i döda grenar på stående träd som i grenar som ligger på marken. Arten har vid flera tillfällen kläckts ur grenar eller klena stammar av hassel, ek, bok och avenbok, men också björk och asp anges som värdväxter. Arten hotas av en brist på lämpligt utvecklingssubstrat på grund av en ökad användning av vedflis från lövträd (SLU Artdatabanken, 2024).</w:t>
      </w:r>
    </w:p>
    <w:p>
      <w:r>
        <w:rPr>
          <w:b/>
        </w:rPr>
        <w:t xml:space="preserve">Plattad lövvedborre (NT) </w:t>
      </w:r>
      <w:r>
        <w:t>påträffas i rena ekskogar eller lövängar, hagmarker och parker med ek. Larvutvecklingen sker i grova, nyligen döda liggande eller stående stammar av framför allt ek, men arten har även påträffats i ekstubbar. Arealen av för arten lämpliga miljöer med god tillgång på utvecklingssubstrat krymper och fragmenteras, delvis genom slutavverkning, men framför allt på grund av övernitisk parkvård där gamla döende och döda träd slentrianmässigt tas bort. Även vissa naturreservat ”vårdas” felaktigt på detta sätt. Ett på senare år tilltagande hot är dessutom flisning/helträdsutnyttjande i samband med gallringar och avverkningar. Avstå om möjligt från slutavverkning av äldre ekdominerade lövskogsområden. Lämna grovt ekvirke kvar som yngelmaterial vid avverkningar. Låt i största möjliga utsträckning gamla döda och döende träd stå kvar även i parker och trädgårdar. I de relativt få fall där dessa verkligen utgör en säkerhetsrisk bör man fundera över alternativet att i stället för fällning ta bort större delen av trädet men lämna kvar en högstubbe. Grov ved kan läggas i s.k. veddepå, med syfte att förse arten med yngelsubstrat (SLU Artdatabanken, 2024).</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