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5639-2022 i Mönsterås kommun</w:t>
      </w:r>
    </w:p>
    <w:p>
      <w:r>
        <w:t>Detta klagomål behandlar höga naturvärden i avverkningsanmälan A 5639-2022 i Mönsterås kommun som inkom 2022-02-03 och omfattar 10,2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5639-2022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6333046, E 570719 i SWEREF 99 TM.</w:t>
      </w:r>
    </w:p>
    <w:p>
      <w:r>
        <w:t>Inom 24 meter från avverkningsanmälan finns fynd av 4 naturvårdsarter, varav 2 är rödlistade, 1 är fridlyst, 1 är typisk (T) och 2 är signalarter (S): svart guldbagge (EN), smalvingad blombock (NT), ekoxe (S, §6)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guldbagge</w:t>
      </w:r>
      <w:r>
        <w:rPr>
          <w:b/>
          <w:i/>
        </w:rPr>
        <w:t xml:space="preserve"> </w:t>
      </w:r>
      <w:r>
        <w:rPr>
          <w:b/>
        </w:rPr>
        <w:t>(EN)</w:t>
      </w:r>
      <w:r>
        <w:t xml:space="preserve"> är en starkt hotad skalbagge vars larvutveckling sker i rödmurken ved, främst i stående ihåliga, både levande och döda träd, men även i lågor. I Sverige utnyttjas främst ek, i Tyskland även bok och i mindre omfattning andra trädslag såsom alm, sälg, hästkastanj, avenbok, björk och klibbal. Arten förekommer ofta i samma träd som läderbagge (VU, §4a) och andra rödlistade insekter. Igenväxning av passande hagmarker med gamla hålekar skapar ett ogynnsamt mikroklimat vilket gör att de gamla hålträden dör i förtid. Generationsglapp i vissa trädbestånd kan i framtiden leda till brist på lämpligt substrat. Bevara gamla hålträd i kulturlandskapet och förhindra igenväxning av hagmarker. Spara omkullfallna hålträd (SLU Artdatabanken, 2025).</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