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25231-2023 i Mönsterås kommun</w:t>
      </w:r>
    </w:p>
    <w:p>
      <w:r>
        <w:t>Denna tillsynsbegäran behandlar höga naturvärden i avverkningsanmälan A 25231-2023 i Mönsterås kommun som inkom 2023-06-09 och omfattar 6,4 ha.</w:t>
      </w:r>
    </w:p>
    <w:p>
      <w:pPr>
        <w:pStyle w:val="Caption"/>
      </w:pPr>
      <w:r>
        <w:drawing>
          <wp:inline xmlns:a="http://schemas.openxmlformats.org/drawingml/2006/main" xmlns:pic="http://schemas.openxmlformats.org/drawingml/2006/picture">
            <wp:extent cx="5486400" cy="4939645"/>
            <wp:docPr id="1" name="Picture 1"/>
            <wp:cNvGraphicFramePr>
              <a:graphicFrameLocks noChangeAspect="1"/>
            </wp:cNvGraphicFramePr>
            <a:graphic>
              <a:graphicData uri="http://schemas.openxmlformats.org/drawingml/2006/picture">
                <pic:pic>
                  <pic:nvPicPr>
                    <pic:cNvPr id="0" name="A 25231-2023 karta.png"/>
                    <pic:cNvPicPr/>
                  </pic:nvPicPr>
                  <pic:blipFill>
                    <a:blip r:embed="rId16"/>
                    <a:stretch>
                      <a:fillRect/>
                    </a:stretch>
                  </pic:blipFill>
                  <pic:spPr>
                    <a:xfrm>
                      <a:off x="0" y="0"/>
                      <a:ext cx="5486400" cy="493964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6312401, E 588876 i SWEREF 99 TM.</w:t>
      </w:r>
    </w:p>
    <w:p>
      <w:r>
        <w:t>I och inom 7 meter från avverkningsanmälan finns fynd av 12 naturvårdsarter, varav 6 är rödlistade och 12 är fridlysta: barbastell (NT, §4a), brunlångöra (NT, §4a), dammfladdermus (NT, §4a), fransfladdermus (NT, §4a), nordfladdermus (NT, §4a), talltita (NT, §4), dvärgpipistrell (§4a), gråskimlig fladdermus (§4a), hasselmus (§4a), större brunfladdermus (§4a), trollpipistrell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