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1795-2026 i Mönsterås kommun</w:t>
      </w:r>
    </w:p>
    <w:p>
      <w:r>
        <w:t>Detta klagomål behandlar höga naturvärden i samrådsanmälan S 1795-2026 i Mönsterås kommun som inkom 2026-06-23 och omfattar 18,8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S 1795-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6309850, E 588736 i SWEREF 99 TM.</w:t>
      </w:r>
    </w:p>
    <w:p>
      <w:r>
        <w:t>I samrådsanmälan finns fynd av 14 naturvårdsarter, varav 10 är rödlistade, 1 är fridlyst, 5 är typiska (T) och 4 är signalarter (S): läderbagge (VU, §4a), ekticka (NT, T), gammelekslav (NT, T), gul dropplav (NT), korallticka (NT), matt pricklav (NT), puderfläck (NT), sadelrödrock (NT), tallticka (NT, T), ängsskära (NT), fällmossa (S, T), grå skärelav (S), gulnål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Sadelrödrock (NT)</w:t>
      </w:r>
      <w:r>
        <w:t xml:space="preserve"> är en knäppare vars larvutveckling sker i fuktig vitrötad ved i på marken liggande grenar, lågor, stubbar och stående döda lövträd främst al och björk, men även i ek, bok eller tall. Fullbildade skalbaggar kläcks på hösten och övervintrar i puppkammaren. De är övervägande dagaktiva och påträffas under försommaren, ofta i blommor av hagtorn och andra blommande buskar eller flockblommiga örter. Arten kräver ved på fuktiga marker med naturskog, men håller tillgodo med måttliga träddimensioner. Det främsta hotet mot dess fortlevnad är dikning och avverkning av lämpliga strandskogar. Lövträdsbestånd i kärr och försumpningar, samt vid sjö- och havsstränder bör sparas och dikning av sådana marker bör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