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16431-2023 i Mönsterås kommun</w:t>
      </w:r>
    </w:p>
    <w:p>
      <w:r>
        <w:t>Denna tillsynsbegäran behandlar höga naturvärden i avverkningsanmälan A 16431-2023 i Mönsterås kommun som inkom 2023-04-06 och omfattar 9,4 ha.</w:t>
      </w:r>
    </w:p>
    <w:p>
      <w:pPr>
        <w:pStyle w:val="Caption"/>
      </w:pPr>
      <w:r>
        <w:drawing>
          <wp:inline xmlns:a="http://schemas.openxmlformats.org/drawingml/2006/main" xmlns:pic="http://schemas.openxmlformats.org/drawingml/2006/picture">
            <wp:extent cx="5486400" cy="4751614"/>
            <wp:docPr id="1" name="Picture 1"/>
            <wp:cNvGraphicFramePr>
              <a:graphicFrameLocks noChangeAspect="1"/>
            </wp:cNvGraphicFramePr>
            <a:graphic>
              <a:graphicData uri="http://schemas.openxmlformats.org/drawingml/2006/picture">
                <pic:pic>
                  <pic:nvPicPr>
                    <pic:cNvPr id="0" name="A 16431-2023 karta.png"/>
                    <pic:cNvPicPr/>
                  </pic:nvPicPr>
                  <pic:blipFill>
                    <a:blip r:embed="rId16"/>
                    <a:stretch>
                      <a:fillRect/>
                    </a:stretch>
                  </pic:blipFill>
                  <pic:spPr>
                    <a:xfrm>
                      <a:off x="0" y="0"/>
                      <a:ext cx="5486400" cy="475161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6317222, E 582817 i SWEREF 99 TM.</w:t>
      </w:r>
    </w:p>
    <w:p>
      <w:r>
        <w:t>I avverkningsanmälan finns fynd av 3 naturvårdsarter, varav 2 är rödlistade, 3 är typiska (T) och 1 är signalart (S): gullpudra (NT, T), sårläka (NT, T) och vätteros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r>
        <w:rPr>
          <w:b/>
        </w:rPr>
        <w:t>Sårläka (NT)</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Enligt Riksskogstaxeringens data förefaller den ha minskat kraftigt (&gt;50%) vilket troligen kan förklaras av det storskaliga skogsbruket med kalhyggen. Sårläka är typisk art för </w:t>
      </w:r>
      <w:r>
        <w:rPr>
          <w:i/>
        </w:rPr>
        <w:t xml:space="preserve">9050 Näringsrik granskog, 9020 Nordlig ädellövskog, 9130 Näringsrik bokskog </w:t>
      </w:r>
      <w:r>
        <w:t xml:space="preserve">och </w:t>
      </w:r>
      <w:r>
        <w:rPr>
          <w:i/>
        </w:rPr>
        <w:t>9160 Näringsrik ekskog</w:t>
      </w:r>
      <w:r>
        <w:t xml:space="preserve"> samt värdväxt för den rödlistade fjärilen sårläkeplattmal (NT) (SLU Artdatabanken, 2026; Nitare &amp; Skogsstyrelsen, 2019).</w:t>
      </w:r>
    </w:p>
    <w:p>
      <w:r>
        <w:rPr>
          <w:b/>
        </w:rPr>
        <w:t xml:space="preserve">Vätteros </w:t>
      </w:r>
      <w:r>
        <w:t xml:space="preserve">är typisk art för </w:t>
      </w:r>
      <w:r>
        <w:rPr>
          <w:i/>
        </w:rPr>
        <w:t xml:space="preserve">9020 Nordlig ädellövskog </w:t>
      </w:r>
      <w:r>
        <w:t>och</w:t>
      </w:r>
      <w:r>
        <w:rPr>
          <w:i/>
        </w:rPr>
        <w:t xml:space="preserve"> 9160 Näringsrik ekskog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