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34721-2024 i Mönsterås kommun</w:t>
      </w:r>
    </w:p>
    <w:p>
      <w:r>
        <w:t>Detta dokument behandlar höga naturvärden i avverkningsanmälan A 34721-2024 i Mönsterås kommun. Denna avverkningsanmälan inkom 2024-08-22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ekcylinderbagge (RE), bredbandad ekbarkbock (EN), Colydium elongatum (VU), mörk spegelbock (VU), orangefläckig brunbagge (VU), ekgetingbock (NT), ekglasvinge (NT), ekgrenbock (NT), ekträdlöpare (NT), entita (NT, §4), spillkråka (NT, §4), bokoxe (S), dolkstekelsglasvinge (S), gulröd blankbock (S), lindbock (S), spindelbock (S) och vanlig snok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34721-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6315731, E 580487 i SWEREF 99 TM.</w:t>
      </w:r>
    </w:p>
    <w:p>
      <w:r>
        <w:rPr>
          <w:b/>
        </w:rPr>
        <w:t>Bredbandad ekbarkbock (EN)</w:t>
      </w:r>
      <w:r>
        <w:t xml:space="preserve"> är en starkt hotad skalbagge, vars larvutveckling sker i och under tjock bark på nyligen döda, solexponerade, grova grenar och stamdelar (helst &gt;20 cm i diameter) av lövträd, i Sverige såvitt känt uteslutande på ek. Arten är starkt knuten till äldre, gles ekskog och öppna blandskogar med hög andel gammal ek, och gynnas av stormfällningar, skogsbränder och andra former av naturlig störning som skapar lämplig ved. Områden med gott om gamla ekar bör skyddas från slutavverkning och andra ingrepp. Det är viktigt att områdena hålls glesa och solöppna genom selektiv gallring av beskuggande träd (främst gran), och gärna brukas som exempelvis betesmark. Död ekved som uppstår bör alltid lämnas kvar. Arten omfattas av ett åtgärdsprogram för hotade arter (ÅGP) (SLU Artdatabanken, 2024; Ehnström, 2005).</w:t>
      </w:r>
    </w:p>
    <w:p>
      <w:r>
        <w:rPr>
          <w:b/>
        </w:rPr>
        <w:t>Ekgrenbock (NT)</w:t>
      </w:r>
      <w:r>
        <w:t xml:space="preserve"> är en skalbagge vars larvutveckling sker i torr, solexponerad, nyligen död ved i kvistar och grenar (1–4 cm diameter) av främst ek men även lind och hassel. Det främsta hotet är bristande tillgång på färsk ekved i form av kvistar och småträd i solexponerade lägen, vilket delvis beror på uttag av grenar och röjningsrester som biobränsle. Dessutom leder uttag av biobränsle som blivit äggbelagt till lokala populationsförluster. Arten missgynnas också av att lövskogar med ek växer igen med främst gran och därmed blir skuggiga och ogästvänliga miljöer. Ekgrenbock ingår i ett åtgärdsprogram för hotade arter (ÅGP) (SLU Artdatabanken, 2024; Franc, 2013).</w:t>
      </w:r>
    </w:p>
    <w:p>
      <w:r>
        <w:rPr>
          <w:b/>
        </w:rPr>
        <w:t>Mörk spegelbock (VU)</w:t>
      </w:r>
      <w:r>
        <w:t xml:space="preserve"> är en skalbagge vars larvutveckling sker i torra, nyligen döda kvistar eller grenar (2–4 cm i diameter) av lövträd, i Sverige såvitt känt enbart ek. Det främsta hotet är bristande tillgång på färsk ekved i form av grenar och klenare stammar i solexponerade lägen. Lämplig ved försvinner vid avverkningar och uttag av biobränsle. Dessutom leder uttag av biobränsle som blivit äggbelagt till lokala populationsförluster. Arten missgynnas också av att lövskogar med ek växer igen med främst gran. Mörk spegelbock ingår i ett åtgärdsprogram för hotade arter (ÅGP) (SLU Artdatabanken, 2024; Franc, 2013).</w:t>
      </w:r>
    </w:p>
    <w:p>
      <w:r>
        <w:rPr>
          <w:b/>
        </w:rPr>
        <w:t>Orangefläckig brunbagge (VU)</w:t>
      </w:r>
      <w:r>
        <w:t xml:space="preserve"> är en vedlevande skalbagge som finns i östra Småland. Den lever i grövre vitrötad och torr lövträdsved i naturskogar med stort lövinslag. Sannolikt är den starkt gynnad av frekventa skogsbränder och översvämning invid åar och runt våtmarker som håller skogarna öppna och skapar grövre solexponerad lövträdsved. Ett återinförande av en naturlig störningsregim med bränder och översvämningar rekommenderas i områden avsatta för artbevarande. Arten, som omfattas av ett åtgärdsprogram för hotade arter (ÅGP), hotas av den minskade mängden lövträd i skogsmark (SLU Artdatabanken, 2024; Nilsson, 2013).</w:t>
      </w:r>
    </w:p>
    <w:p>
      <w:pPr>
        <w:pStyle w:val="Heading1"/>
      </w:pPr>
      <w:r>
        <w:t>Fridlysta arter</w:t>
      </w:r>
    </w:p>
    <w:p>
      <w:r>
        <w:t>Följande fridlysta arter har sina livsmiljöer och växtplatser i den avverkningsanmälda skogen: entita (NT, §4), spillkråka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