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42153-2025 i Mönsterås kommun</w:t>
      </w:r>
    </w:p>
    <w:p>
      <w:r>
        <w:t>Detta klagomål behandlar höga naturvärden i avverkningsanmälan A 42153-2025 i Mönsterås kommun som inkom 2025-09-04 och omfattar 6,4 ha.</w:t>
      </w:r>
    </w:p>
    <w:p>
      <w:pPr>
        <w:pStyle w:val="Caption"/>
      </w:pPr>
      <w:r>
        <w:drawing>
          <wp:inline xmlns:a="http://schemas.openxmlformats.org/drawingml/2006/main" xmlns:pic="http://schemas.openxmlformats.org/drawingml/2006/picture">
            <wp:extent cx="5486400" cy="4287311"/>
            <wp:docPr id="1" name="Picture 1"/>
            <wp:cNvGraphicFramePr>
              <a:graphicFrameLocks noChangeAspect="1"/>
            </wp:cNvGraphicFramePr>
            <a:graphic>
              <a:graphicData uri="http://schemas.openxmlformats.org/drawingml/2006/picture">
                <pic:pic>
                  <pic:nvPicPr>
                    <pic:cNvPr id="0" name="A 42153-2025 karta.png"/>
                    <pic:cNvPicPr/>
                  </pic:nvPicPr>
                  <pic:blipFill>
                    <a:blip r:embed="rId16"/>
                    <a:stretch>
                      <a:fillRect/>
                    </a:stretch>
                  </pic:blipFill>
                  <pic:spPr>
                    <a:xfrm>
                      <a:off x="0" y="0"/>
                      <a:ext cx="5486400" cy="428731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6341611, E 578717 i SWEREF 99 TM.</w:t>
      </w:r>
    </w:p>
    <w:p>
      <w:r>
        <w:t>I och inom 1 meter från avverkningsanmälan finns fynd av 18 naturvårdsarter, varav 7 är rödlistade, 7 är fridlysta, 13 är typiska (T) och 5 är signalarter (S): kolflarnlav (NT, T), motaggsvamp (NT, T), rynkskinn (NT, T), tallticka (NT, T), talltita (NT, §4), ullticka (NT, T), vedskivlav (NT, T), blodticka (S, T), blåmossa (S, T), brandticka (S), grovticka (S, T), vågbandad barkbock (S), spillkråka (T, §4), stjärtmes (T, §4), tjäder (T, §4), tofsmes (T, §4), kungsfågel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