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3727-2023 i Mönsterås kommun</w:t>
      </w:r>
    </w:p>
    <w:p>
      <w:r>
        <w:t>Denna tillsynsbegäran behandlar höga naturvärden i samrådsanmälan S 3727-2023 i Mönsterås kommun som inkom 2023-10-23 och omfattar 25,6 ha.</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S 3727-2023 karta.png"/>
                    <pic:cNvPicPr/>
                  </pic:nvPicPr>
                  <pic:blipFill>
                    <a:blip r:embed="rId16"/>
                    <a:stretch>
                      <a:fillRect/>
                    </a:stretch>
                  </pic:blipFill>
                  <pic:spPr>
                    <a:xfrm>
                      <a:off x="0" y="0"/>
                      <a:ext cx="5486400" cy="5357525"/>
                    </a:xfrm>
                    <a:prstGeom prst="rect"/>
                  </pic:spPr>
                </pic:pic>
              </a:graphicData>
            </a:graphic>
          </wp:inline>
        </w:drawing>
      </w:r>
    </w:p>
    <w:p>
      <w:pPr>
        <w:pStyle w:val="Caption"/>
        <w:spacing w:after="240"/>
      </w:pPr>
      <w:r>
        <w:t>Figur 1. Fyndplatser för naturvårdsarter i och inom 3 meter från samrådsanmälan. Markörer utan svart kant är placerade på fyndplatsen. Markörer med svart kant är placerade vid sidan av fyndplatsen har ett svart streck som visar fyndplatsens exakta position. Kartans mittpunktskoordinat är N 6333566, E 575577 i SWEREF 99 TM.</w:t>
      </w:r>
    </w:p>
    <w:p>
      <w:r>
        <w:t>I och inom 3 meter från samrådsanmälan finns fynd av 12 naturvårdsarter, varav 8 är rödlistade, 8 är typiska (T) och 4 är signalarter (S): ask (EN), ekticka (NT, T), gammelekslav (NT, T), kandelabersvamp (NT, T), parknål (NT), puderfläck (NT), rutskinn (NT, T), skuggorangelav (NT), ekskinn (S, T), gulpudrad spiklav (S, T), rävticka (S, T) och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Puderfläck (NT)</w:t>
      </w:r>
      <w:r>
        <w:t xml:space="preserve"> växer huvudsakligen på halvgamla till gamla ekar med hård bark i halvöppna till slutna lägen. Vid några tillfällen har den hittats på hårdbarkig klibbal på lokaler med hög luftfuktighet. Skogarna har lång skoglig kontinuitet och ofta finns andra rödlistade lavar, t.ex. liten sönderfallslav (NT), på lokalerna. Åtminstone de rikligaste lokalerna bör skyddas (SLU Artdatabanken, 2026).</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Rävticka</w:t>
      </w:r>
      <w:r>
        <w:t xml:space="preserve"> är typisk art för </w:t>
      </w:r>
      <w:r>
        <w:rPr>
          <w:i/>
        </w:rPr>
        <w:t xml:space="preserve">9010 Taiga </w:t>
      </w:r>
      <w:r>
        <w:t>(SLU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ekticka (NT, T), gammelekslav (NT, T), kandelabersvamp (NT, T), rutskinn (NT, T), ekskinn (S, T), gulpudrad spiklav (S, T), rävticka (S, T) och sotlav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