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10103-2022 i Mönsterås kommun</w:t>
      </w:r>
    </w:p>
    <w:p>
      <w:r>
        <w:t>Denna tillsynsbegäran behandlar höga naturvärden i avverkningsanmälan A 10103-2022 i Mönsterås kommun som inkom 2022-03-01 och omfattar 1,5 ha.</w:t>
      </w:r>
    </w:p>
    <w:p>
      <w:pPr>
        <w:pStyle w:val="Caption"/>
      </w:pPr>
      <w:r>
        <w:drawing>
          <wp:inline xmlns:a="http://schemas.openxmlformats.org/drawingml/2006/main" xmlns:pic="http://schemas.openxmlformats.org/drawingml/2006/picture">
            <wp:extent cx="5486400" cy="4989195"/>
            <wp:docPr id="1" name="Picture 1"/>
            <wp:cNvGraphicFramePr>
              <a:graphicFrameLocks noChangeAspect="1"/>
            </wp:cNvGraphicFramePr>
            <a:graphic>
              <a:graphicData uri="http://schemas.openxmlformats.org/drawingml/2006/picture">
                <pic:pic>
                  <pic:nvPicPr>
                    <pic:cNvPr id="0" name="A 10103-2022 karta.png"/>
                    <pic:cNvPicPr/>
                  </pic:nvPicPr>
                  <pic:blipFill>
                    <a:blip r:embed="rId16"/>
                    <a:stretch>
                      <a:fillRect/>
                    </a:stretch>
                  </pic:blipFill>
                  <pic:spPr>
                    <a:xfrm>
                      <a:off x="0" y="0"/>
                      <a:ext cx="5486400" cy="49891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6337373, E 578868 i SWEREF 99 TM.</w:t>
      </w:r>
    </w:p>
    <w:p>
      <w:r>
        <w:t>I avverkningsanmälan finns fynd av 5 naturvårdsarter, varav 2 är rödlistade, 1 är fridlyst, 2 är typiska (T) och 2 är signalarter (S): jätteknäppare (NT), mindre träfjäril (NT), bronshjon (S, T), gulröd blankbock (S) och nattskärra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Jätteknäppare (NT) </w:t>
      </w:r>
      <w:r>
        <w:t>är en skalbagge vars larvutveckling sker i solexponerade högstubbar av tall, främst i glesa naturskogsbestånd av tall. Fullbildade skalbaggar påträffas främst i juli-augusti, de är nattaktiva och dras till ljus. Arten påverkas negativt av brist på kontinuitetsskog och det föreligger indikation på eller misstanke om populationsminskning. Minskningen avser kvalitén på artens habitat (SLU Artdatabanken, 2026).</w:t>
      </w:r>
    </w:p>
    <w:p>
      <w:r>
        <w:rPr>
          <w:b/>
        </w:rPr>
        <w:t>Mindre träfjäril (NT)</w:t>
      </w:r>
      <w:r>
        <w:t xml:space="preserve"> förekommer i främst lite torrare klimatzoner på grövre, särskilt utvalda aspar i ljusa blandskogar och skogsridåer med lång kontinuitet av grova aspträd. I gynnsamma miljöer angrips samma träd under en lång följd av år och dessa träd igenkänns lättare på håll genom att larvens skadegörelse förorsakar savning som gynnar en svart alg. Hårt angripna aspar utvecklar kräftliknande symptom och får en ansvällning av det angripna stampartiet. Det runda kläckhålet är centimeterstort med en puppgång som sträcker sig 20 cm in i trädet. Beroendet av kontinuitet, stora träd och ej sluten skog gör att arten missgynnas i rationellt brukade skogsområden. Eftersom habitatet är kontinuitetsbestånd av äldre grova aspar är artens livsmiljöer idag fragmenterade. Skogsbruket avverkar åtskilliga aspar som är lämpliga eller kan bli det framöver och solitärer som sparas blåser ofta omkull efter några år och blir obrukbara för fjärilen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Gulröd blankbock</w:t>
      </w:r>
      <w:r>
        <w:rPr>
          <w:b/>
          <w:i/>
        </w:rPr>
        <w:t xml:space="preserve"> </w:t>
      </w:r>
      <w:r>
        <w:t>är en långhorning vars larvutveckling sker i och under solexponerad, torr bark på döda grenar och stamdelar (ofta 15–30 cm diameter) av lövträd. I Sverige såvitt känt enbart på asp. Arten påverkas negativt av brist på död ved och det föreligger indikation på eller misstanke om populationsminskning (SLU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