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61490-2024 i Mönsterås kommun</w:t>
      </w:r>
    </w:p>
    <w:p>
      <w:r>
        <w:t>Detta dokument behandlar höga naturvärden i avverkningsanmälan A 61490-2024 i Mönsterås kommun. Denna avverkningsanmälan inkom 2024-12-20 13:11:12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taggbock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0949"/>
            <wp:docPr id="1" name="Picture 1"/>
            <wp:cNvGraphicFramePr>
              <a:graphicFrameLocks noChangeAspect="1"/>
            </wp:cNvGraphicFramePr>
            <a:graphic>
              <a:graphicData uri="http://schemas.openxmlformats.org/drawingml/2006/picture">
                <pic:pic>
                  <pic:nvPicPr>
                    <pic:cNvPr id="0" name="A 61490-2024 karta.png"/>
                    <pic:cNvPicPr/>
                  </pic:nvPicPr>
                  <pic:blipFill>
                    <a:blip r:embed="rId16"/>
                    <a:stretch>
                      <a:fillRect/>
                    </a:stretch>
                  </pic:blipFill>
                  <pic:spPr>
                    <a:xfrm>
                      <a:off x="0" y="0"/>
                      <a:ext cx="5486400" cy="4040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6342894, E 570358 i SWEREF 99 TM.</w:t>
      </w:r>
    </w:p>
    <w:p>
      <w:r>
        <w:rPr>
          <w:b/>
        </w:rPr>
        <w:t xml:space="preserve">Taggbock </w:t>
      </w:r>
      <w:r>
        <w:t>är en långhorning vars larvutveckling sker i brunrötad död ved av i stubbar och grova rotdelar av många olika löv- och barrträd, gärna ek, bok och tall men även t.ex. al, alm, björk och gran. Påträffas främst i gamla bok- och ekbestånd samt i tallskog på sand- och hällmarker. Arten påverkas negativt av brist på död ved och det föreligger indikation på eller misstanke om populationsminskning. Minskningen avser kvalitén på artens habitat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