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3730-2023 i Mönsterås kommun</w:t>
      </w:r>
    </w:p>
    <w:p>
      <w:r>
        <w:t>Detta klagomål behandlar höga naturvärden i samrådsanmälan S 3730-2023 i Mönsterås kommun som inkom 2023-10-23 och omfattar 5,3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S 3730-2023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6336386, E 571228 i SWEREF 99 TM.</w:t>
      </w:r>
    </w:p>
    <w:p>
      <w:r>
        <w:t>I och inom 25 meter från samrådsanmälan finns fynd av 10 naturvårdsarter, varav 7 är rödlistade, 2 är fridlysta, 5 är typiska (T) och 2 är signalarter (S): läderbagge (VU, §4a), gammelekslav (NT, T), gul dropplav (NT), parknål (NT), rödbrun blekspik (NT, T), skuggorangelav (NT), vippärt (NT, T), gulpudrad spiklav (S, T), sotlav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