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2719-2024 i Mönsterås kommun</w:t>
      </w:r>
    </w:p>
    <w:p>
      <w:r>
        <w:t>Denna tillsynsbegäran behandlar höga naturvärden i avverkningsanmälan A 2719-2024 i Mönsterås kommun som inkom 2024-01-23 och omfattar 3,4 ha.</w:t>
      </w:r>
    </w:p>
    <w:p>
      <w:pPr>
        <w:pStyle w:val="Caption"/>
      </w:pPr>
      <w:r>
        <w:drawing>
          <wp:inline xmlns:a="http://schemas.openxmlformats.org/drawingml/2006/main" xmlns:pic="http://schemas.openxmlformats.org/drawingml/2006/picture">
            <wp:extent cx="5486400" cy="5180972"/>
            <wp:docPr id="1" name="Picture 1"/>
            <wp:cNvGraphicFramePr>
              <a:graphicFrameLocks noChangeAspect="1"/>
            </wp:cNvGraphicFramePr>
            <a:graphic>
              <a:graphicData uri="http://schemas.openxmlformats.org/drawingml/2006/picture">
                <pic:pic>
                  <pic:nvPicPr>
                    <pic:cNvPr id="0" name="A 2719-2024 karta.png"/>
                    <pic:cNvPicPr/>
                  </pic:nvPicPr>
                  <pic:blipFill>
                    <a:blip r:embed="rId16"/>
                    <a:stretch>
                      <a:fillRect/>
                    </a:stretch>
                  </pic:blipFill>
                  <pic:spPr>
                    <a:xfrm>
                      <a:off x="0" y="0"/>
                      <a:ext cx="5486400" cy="51809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6327570, E 579615 i SWEREF 99 TM.</w:t>
      </w:r>
    </w:p>
    <w:p>
      <w:r>
        <w:t>I avverkningsanmälan finns fynd av 3 naturvårdsarter, varav 1 är rödlistad och 3 är fridlysta: nordfladdermus (NT, §4a), dvärgpipistrell (§4a) och större brunfladdermus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