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2786-2026 i Mönsterås kommun</w:t>
      </w:r>
    </w:p>
    <w:p>
      <w:r>
        <w:t>Denna tillsynsbegäran behandlar höga naturvärden i samrådsanmälan S 2786-2026 i Mönsterås kommun som inkom 2026-10-23 och omfattar 7,2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S 2786-2026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6325813, E 587000 i SWEREF 99 TM.</w:t>
      </w:r>
    </w:p>
    <w:p>
      <w:r>
        <w:t>I samrådsanmälan finns fynd av 14 naturvårdsarter, varav 8 är rödlistade, 3 är fridlysta, 6 är typiska (T) och 4 är signalarter (S): glänsande blombagge (VU), hjärtstilla (VU), linddyna (VU), enfärgad brandsvampbagge (NT), mindre hackspett (NT, T, §4), oxtungssvamp (NT), svartspetsad rödrock (NT), vårärt (NT, T), bokoxe (S, T), fällmossa (S, T), guldlockmossa (S, T), lindbock (S),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Glänsande blombagge (VU)</w:t>
      </w:r>
      <w:r>
        <w:t xml:space="preserve"> är en skalbagge vars larvutveckling sker i fuktig, mjuk död ved i stamhåligheter och kvistsår på levande ädellövträd, främst ek</w:t>
      </w:r>
      <w:r>
        <w:rPr>
          <w:i/>
        </w:rPr>
        <w:t xml:space="preserve"> </w:t>
      </w:r>
      <w:r>
        <w:t>men även ask, bok, lind, alm och kastanj. Fullbildade skalbaggar övervintrar i puppkammaren och är aktiva främst under maj-juni, då de besöker blommor av t.ex. hagtorn. Arten hotas av substratbrist p.g.a. alltför små arealer av ädellövskog med tillräcklig tillgång på äldre och skadade träd (SLU Artdatabanken, 2025).</w:t>
      </w:r>
    </w:p>
    <w:p>
      <w:r>
        <w:rPr>
          <w:b/>
        </w:rPr>
        <w:t>Linddyna (VU)</w:t>
      </w:r>
      <w:r>
        <w:t xml:space="preserve"> är en nedbrytare på stammar av lind i varma ädellövskogsmiljöer med stort inslag av lind såsom bergbranter, glupmiljöer, hagmarker, lövängar och parker. Tillgång till lindlågor är viktig för linddynans fortbestånd. Bortfraktande av lindstammar från parker och alltför nitisk städning av hagmarker och lövskogsområden är allvarliga hot. På kända lokaler bör lind gynnas och all död ved av lind sparas. Lindlågor bör generellt sparas i "naturbetonade" delar av parker och i hagmarker. Tillsammans med linddyna lever ett antal sällsynta skalbaggsarter som omfattas av ett åtgärdsprogram för hotade arter (ÅGP). Bland dessa kan nämnas lindbarkbagge (EN), lindmögelbagge (VU), lindplattbagge (VU) och enfärgad brandsvampbagge (NT) (SLU Artdatabanken, 2024; Ehnström, 2006).</w:t>
      </w:r>
    </w:p>
    <w:p>
      <w:r>
        <w:rPr>
          <w:b/>
        </w:rPr>
        <w:t>Enfärgad brandsvampbagge (NT)</w:t>
      </w:r>
      <w:r>
        <w:t xml:space="preserve"> är en skalbagge vars larvutveckling sker olika arter av kärnsvampar i svampangripen bark av lövträd, i främst nyligen död bark av lind angripen av linddyna (</w:t>
      </w:r>
      <w:r>
        <w:rPr>
          <w:i/>
        </w:rPr>
        <w:t xml:space="preserve">Biscogniauxia cinereolilacina). </w:t>
      </w:r>
      <w:r>
        <w:t>Arten är även påträffad på flera andra trädslag som bok, ek, avenbok och sälg varför den även tycks utnyttja andra svamparter som föda. Allt bör göras för att spara de gamla lindarna, främst i Mälardalen. Både denna och flera andra rödlistade arter med mycket begränsad utbredning i norra Europa behöver dessa träd för att överleva. Det är även viktigt att nedfallna grenar och stamdelar får ligga kvar på lokalen. Om dessa hindrar utnyttjandet av marken kan de fraktas åt sidan och sparas på solbelysta platser i närheten. Enfärgad brandsvampbagge ingår i ett åtgärdsprogram för hotade arter (ÅGP) (SLU Artdatabanken, 2024; Ehnström, 2006).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Svartspetsad rödrock (NT) </w:t>
      </w:r>
      <w:r>
        <w:t>är en knäppare vars larvutveckling sker i murken ved av olika trädslag, främst lövträd som ek, bok och lind, t.ex. i rödmurkna partier av grova hålekar. Arten påverkas negativt av brist på död ved och en minskning av populationen pågår eller förväntas ske. Minskningen avser kvalitén på artens habitat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mindre hackspett (NT, T, §4), vårärt (NT, T), bokoxe (S, T), fällmossa (S, T), guldlockmossa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