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654-2025 i Mönsterås kommun</w:t>
      </w:r>
    </w:p>
    <w:p>
      <w:r>
        <w:t>Detta klagomål behandlar höga naturvärden i samrådsanmälan S 654-2025 i Mönsterås kommun som inkom 2025-02-27 och omfattar 3,3 ha.</w:t>
      </w:r>
    </w:p>
    <w:p>
      <w:pPr>
        <w:pStyle w:val="Caption"/>
      </w:pPr>
      <w:r>
        <w:drawing>
          <wp:inline xmlns:a="http://schemas.openxmlformats.org/drawingml/2006/main" xmlns:pic="http://schemas.openxmlformats.org/drawingml/2006/picture">
            <wp:extent cx="5486400" cy="4651930"/>
            <wp:docPr id="1" name="Picture 1"/>
            <wp:cNvGraphicFramePr>
              <a:graphicFrameLocks noChangeAspect="1"/>
            </wp:cNvGraphicFramePr>
            <a:graphic>
              <a:graphicData uri="http://schemas.openxmlformats.org/drawingml/2006/picture">
                <pic:pic>
                  <pic:nvPicPr>
                    <pic:cNvPr id="0" name="S 654-2025 karta.png"/>
                    <pic:cNvPicPr/>
                  </pic:nvPicPr>
                  <pic:blipFill>
                    <a:blip r:embed="rId16"/>
                    <a:stretch>
                      <a:fillRect/>
                    </a:stretch>
                  </pic:blipFill>
                  <pic:spPr>
                    <a:xfrm>
                      <a:off x="0" y="0"/>
                      <a:ext cx="5486400" cy="4651930"/>
                    </a:xfrm>
                    <a:prstGeom prst="rect"/>
                  </pic:spPr>
                </pic:pic>
              </a:graphicData>
            </a:graphic>
          </wp:inline>
        </w:drawing>
      </w:r>
    </w:p>
    <w:p>
      <w:pPr>
        <w:pStyle w:val="Caption"/>
        <w:spacing w:after="240"/>
      </w:pPr>
      <w:r>
        <w:t>Figur 1. Fyndplatser för naturvårdsarter i och inom 4 meter från samrådsanmälan. Markörer utan svart kant är placerade på fyndplatsen. Markörer med svart kant är placerade vid sidan av fyndplatsen och har ett svart streck som visar fyndplatsens exakta position. Kartans mittpunktskoordinat är N 6312299, E 584970 i SWEREF 99 TM.</w:t>
      </w:r>
    </w:p>
    <w:p>
      <w:r>
        <w:t>I och inom 4 meter från samrådsanmälan finns fynd av 25 naturvårdsarter, varav 11 är rödlistade, 9 är fridlysta, 9 är typiska (T) och 8 är signalarter (S): brokig barksvartbagge (VU), Colydium filiforme (VU), läderbagge (VU, §4a), blekticka (NT, T), ekticka (NT, T), epålettknäppare (NT), gammelekslav (NT, T), gul dropplav (NT), oxtungssvamp (NT), rutskinn (NT, T), sädesärla (NT, §4), dolkstekelsglasvinge (S), Dorcatoma chrysomelina (S), ekoxe (S, §6), grå skärelav (S), guldlockmossa (S, T), gulnål (S, T), rostfläck (S, T), tvåfläckig praktbagge (S), nattskärra (T, §4), spillkråka (T, §4), fiskgjuse (§4), havsörn (§4), röd glada (§4)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Brokig barksvartbagge (VU)</w:t>
      </w:r>
      <w:r>
        <w:t xml:space="preserve"> är en skalbagge vars larvutveckling sker i gångar av olika vedinsekter i svampig ved av lövträd, främst på gamla ekar med angrepp av skeppsvarvsfluga (NT). Arten påverkas negativt av brist på grova eller gamla träd och en minskning av populationen pågår eller förväntas ske. Brokig barksvartbagge är rödlistad som nära hotad (NT) på den europeiska rödlistan vilket medför ett internationellt ansvar för arten (SLU Artdatabanken, 2026; IUCN, 2017).</w:t>
      </w:r>
    </w:p>
    <w:p>
      <w:r>
        <w:rPr>
          <w:b/>
          <w:i/>
        </w:rPr>
        <w:t>Colydium filiforme</w:t>
      </w:r>
      <w:r>
        <w:rPr>
          <w:b/>
        </w:rPr>
        <w:t xml:space="preserve"> (VU)</w:t>
      </w:r>
      <w:r>
        <w:t xml:space="preserve"> är en skalbagge vars larvutveckling sker i gångar av barkborrar och andra insekter i död, barklös solexponerad ved av lövträd, såvitt känt endast ek. Såväl i stående som liggande grov ekved, liksom i döda stampartier på levande gammelekar. I Sverige främst i gångar av skeppsvarvsfluga (NT), i Centraleuropa även i gångar av trägnagare. Fullbildade individer uppträder under sommaren från maj till början av augusti på lämplig ved, både dagtid och nattetid vid varmt och fuktigt väder. Bevara gamla ekbestånd och säkerställ en framtida kontinuitet av lämpliga träd. Friställ ekar i igenväxande hagmarker. I parker måste man tolerera att gamla, stamskadade ekar får stå kvar och hellre styra om gång- och cykelvägar så att ej faran med nedfallande grenar blir anledning till att träden tas bort (SLU Artdatabanken, 2026).</w:t>
      </w:r>
    </w:p>
    <w:p>
      <w:r>
        <w:rPr>
          <w:b/>
        </w:rPr>
        <w:t>Läderbagge (VU, §4a)</w:t>
      </w:r>
      <w:r>
        <w:t xml:space="preserve"> är strikt skyddad enligt EU:s art- och habitatdirektiv vilket innebär att hela dess livsmiljö med ekar i alla åldrar behöver bevaras för artens långsiktiga överlevnad i landskapet. Läderbaggens larvutveckling sker i trädhåligheter med mulm i grova ihåliga lövträd, där larven lever av den omgivande, fastare döda veden.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 Läderbagge är globalt rödlistad som nära hotad (NT) vilket innebär att Sverige har ett internationellt ansvar för arten (IUCN, 2025; SLU Artdatabanken, 2021; Nilsson m.fl. 2002).</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Blekticka är typisk art för </w:t>
      </w:r>
      <w:r>
        <w:rPr>
          <w:i/>
        </w:rPr>
        <w:t>9160 Näringsrik ekskog</w:t>
      </w:r>
      <w:r>
        <w:t xml:space="preserve"> och </w:t>
      </w:r>
      <w:r>
        <w:rPr>
          <w:i/>
        </w:rPr>
        <w:t>9190 Näringsfattig ekskog</w:t>
      </w:r>
      <w:r>
        <w:t xml:space="preserve"> (SLU Artdatabanken, 2024; Nitare &amp; Skogsstyrelsen,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Epålettknäppare (NT) </w:t>
      </w:r>
      <w:r>
        <w:t>är en skalbagge vars larvutveckling sker under mossa och bark eller i murken ved i grenar och stammar av grova, ofta levande lövträd, ej sällan i det inre av ihåliga träd. Främst på ek men även ask, alm, lind och lönn och asp. Arten hotas av avverkning av gamla träd i parker, allér eller hagmarker. Grova träd i hagmarker, alléer och parker bör lämnas i så stor utsträckning som möjligt. En långsiktig planering för att rekrytera träd i yngre generationer till att bli framtida utvecklingsträd på en del av lokalerna är också av stor vikt (SLU Artdatabanken, 2025).</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25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