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33362-2020 i Mönsterås kommun</w:t>
      </w:r>
    </w:p>
    <w:p>
      <w:r>
        <w:t>Detta dokument behandlar höga naturvärden i avverkningsanmälan A 33362-2020 i Mönsterås kommun. Denna avverkningsanmälan inkom 2020-07-09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ekgrenbock (NT) och smalvingad blombock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1133"/>
            <wp:docPr id="1" name="Picture 1"/>
            <wp:cNvGraphicFramePr>
              <a:graphicFrameLocks noChangeAspect="1"/>
            </wp:cNvGraphicFramePr>
            <a:graphic>
              <a:graphicData uri="http://schemas.openxmlformats.org/drawingml/2006/picture">
                <pic:pic>
                  <pic:nvPicPr>
                    <pic:cNvPr id="0" name="A 33362-2020 karta.png"/>
                    <pic:cNvPicPr/>
                  </pic:nvPicPr>
                  <pic:blipFill>
                    <a:blip r:embed="rId16"/>
                    <a:stretch>
                      <a:fillRect/>
                    </a:stretch>
                  </pic:blipFill>
                  <pic:spPr>
                    <a:xfrm>
                      <a:off x="0" y="0"/>
                      <a:ext cx="5486400" cy="4731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6332454, E 571931 i SWEREF 99 TM.</w:t>
      </w:r>
    </w:p>
    <w:p>
      <w:r>
        <w:rPr>
          <w:b/>
        </w:rPr>
        <w:t>Ekgrenbock (NT)</w:t>
      </w:r>
      <w:r>
        <w:t xml:space="preserve"> är en skalbagge vars larvutveckling sker i torr, solexponerad, nyligen död ved i kvistar och grenar (1–4 cm diameter) av främst ek men även lind och hassel. Det främsta hotet är bristande tillgång på färsk ekved i form av kvistar och småträd i solexponerade lägen, vilket delvis beror på uttag av grenar och röjningsrester som biobränsle. Dessutom leder uttag av biobränsle som blivit äggbelagt till lokala populationsförluster. Arten missgynnas också av att lövskogar med ek växer igen med främst gran och därmed blir skuggiga och ogästvänliga miljöer. Ekgrenbock ingår i ett åtgärdsprogram för hotade arter (ÅGP) (SLU Artdatabanken, 2024; Franc, 2013).</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