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7097-2020 i Mönsterås kommun</w:t>
      </w:r>
    </w:p>
    <w:p>
      <w:r>
        <w:t>Detta dokument behandlar höga naturvärden i avverkningsanmälan A 7097-2020 i Mönsterås kommun. Denna avverkningsanmälan inkom 2020-02-07 och omfattar 9,2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spillkråka (NT, §4), dvärgpipistrell (§4a), större brunfladdermus (§4a) och vattenfladdermus (§4a).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208212"/>
            <wp:docPr id="1" name="Picture 1"/>
            <wp:cNvGraphicFramePr>
              <a:graphicFrameLocks noChangeAspect="1"/>
            </wp:cNvGraphicFramePr>
            <a:graphic>
              <a:graphicData uri="http://schemas.openxmlformats.org/drawingml/2006/picture">
                <pic:pic>
                  <pic:nvPicPr>
                    <pic:cNvPr id="0" name="A 7097-2020 karta.png"/>
                    <pic:cNvPicPr/>
                  </pic:nvPicPr>
                  <pic:blipFill>
                    <a:blip r:embed="rId16"/>
                    <a:stretch>
                      <a:fillRect/>
                    </a:stretch>
                  </pic:blipFill>
                  <pic:spPr>
                    <a:xfrm>
                      <a:off x="0" y="0"/>
                      <a:ext cx="5486400" cy="220821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6311961, E 588930 i SWEREF 99 TM.</w:t>
      </w:r>
    </w:p>
    <w:p>
      <w:pPr>
        <w:pStyle w:val="Heading1"/>
      </w:pPr>
      <w:r>
        <w:t>Fridlysta arter</w:t>
      </w:r>
    </w:p>
    <w:p>
      <w:r>
        <w:t>Följande fridlysta arter har sina livsmiljöer och växtplatser i den avverkningsanmälda skogen: spillkråka (NT, §4), dvärgpipistrell (§4a), större brunfladdermus (§4a) och vattenfladdermus (§4a).</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Dvärgpipistrell (§4a)</w:t>
      </w:r>
      <w:r>
        <w:t xml:space="preserve"> omfattas av bilaga 4 EU:s art- och habitatdirektiv vilket innebär ett strikt skydd där arten och dess livsmiljöer ska bevaras.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Dvärgpipistrell – ekologi samt krav på livsmiljön</w:t>
      </w:r>
    </w:p>
    <w:p>
      <w:r>
        <w:t>Dvärgpipistrell (§4a) omfattas av bilaga 4 EU:s art- och habitatdirektiv vilket innebär ett strikt skydd för arten och dess livsmiljöer.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dvärgpipistrell</w:t>
      </w:r>
    </w:p>
    <w:p>
      <w:r>
        <w:t xml:space="preserve">Skogsstyrelsen, 2016. </w:t>
      </w:r>
      <w:r>
        <w:rPr>
          <w:i/>
        </w:rPr>
        <w:t xml:space="preserve">Vägledning för hänsyn till pipistrell. </w:t>
      </w:r>
      <w:r>
        <w:t>Vägledningar och kunskapsstöd artskydd - Skogsstyrelsen</w:t>
      </w:r>
    </w:p>
    <w:p>
      <w:r>
        <w:t>SLU Artdatabanken, 2024.</w:t>
      </w:r>
      <w:r>
        <w:rPr>
          <w:i/>
        </w:rPr>
        <w:t xml:space="preserve">  Artfakta: dvärgpipistrell (Pipistrellus pygmaeus). </w:t>
      </w:r>
      <w:r>
        <w:t>https://artfakta.se/taxa/205995</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