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3528-2025 i Mönsterås kommun</w:t>
      </w:r>
    </w:p>
    <w:p>
      <w:r>
        <w:t>Detta klagomål behandlar höga naturvärden i samrådsanmälan S 3528-2025 i Mönsterås kommun som inkom 2025-12-17 och omfattar 58,6 ha.</w:t>
      </w:r>
    </w:p>
    <w:p>
      <w:pPr>
        <w:pStyle w:val="Caption"/>
      </w:pPr>
      <w:r>
        <w:drawing>
          <wp:inline xmlns:a="http://schemas.openxmlformats.org/drawingml/2006/main" xmlns:pic="http://schemas.openxmlformats.org/drawingml/2006/picture">
            <wp:extent cx="4688106" cy="5724000"/>
            <wp:docPr id="1" name="Picture 1"/>
            <wp:cNvGraphicFramePr>
              <a:graphicFrameLocks noChangeAspect="1"/>
            </wp:cNvGraphicFramePr>
            <a:graphic>
              <a:graphicData uri="http://schemas.openxmlformats.org/drawingml/2006/picture">
                <pic:pic>
                  <pic:nvPicPr>
                    <pic:cNvPr id="0" name="S 3528-2025 karta.png"/>
                    <pic:cNvPicPr/>
                  </pic:nvPicPr>
                  <pic:blipFill>
                    <a:blip r:embed="rId16"/>
                    <a:stretch>
                      <a:fillRect/>
                    </a:stretch>
                  </pic:blipFill>
                  <pic:spPr>
                    <a:xfrm>
                      <a:off x="0" y="0"/>
                      <a:ext cx="4688106" cy="5724000"/>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6307486, E 588812 i SWEREF 99 TM.</w:t>
      </w:r>
    </w:p>
    <w:p>
      <w:r>
        <w:t>I och inom 20 meter från samrådsanmälan finns fynd av 69 naturvårdsarter, varav 48 är rödlistade, 48 är fridlysta, 11 är typiska (T) och 3 är signalarter (S): ejder (EN, §4), havstrut (EN, §4), backsippa (VU, §8), bergand (VU, §4), gråtrut (VU, §4), grönfink (VU, §4), knärot (VU, T, §8), pilgrimsfalk (VU, §4), rödsäv (VU), sexfläckig bastardsvärmare (VU), stare (VU, §4), tofsvipa (VU, §4), tårticka (VU, T), adam och eva (NT, §8), axveronika (NT), backtimjan (NT), björktrast (NT, §4), bläsand (NT, §4), drillsnäppa (NT, §4), duvhök (NT, §4), ekticka (NT, T), entita (NT, T, §4), flentimotej (NT), gammelekslav (NT, T), gravand (NT, §4), grönsångare (NT, §4), gulsparv (NT, §4), jungfrulin (NT), järnsparv (NT, §4), korskovall (NT), krusfrö (NT), kungsfiskare (NT, §4), matt pricklav (NT), mindre hackspett (NT, T, §4), rosenfink (NT, §4), rörsångare (NT, §4), skrattmås (NT, §4), skräntärna (NT, §4), strandnarv (NT), strandskata (NT, §4), svart skogssnigel (NT), sädesärla (NT, §4), tallticka (NT, T), talltita (NT, §4), vinterhämpling (NT, §4), vårstarr (NT), ägretthäger (NT, §4), ängsskära (NT), grå skärelav (S), guldlockmossa (S, T), gulnål (S, T), spillkråka (T, §4), sälgsandbi (T), gröngöling (§4), grönsiska (§4), havsörn (§4), kråka (§4), kungsfågel (§4), näktergal (§4), salskrake (§4), större vattensalamander (§4a), sävsparv (§4), sångsvan (§4), trana (§4), törnskata (§4), ärtsångare (§4), kopparödla (§6), grönvit nattviol (§8) och ängsnycklar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208125"/>
            <wp:docPr id="2" name="Picture 2"/>
            <wp:cNvGraphicFramePr>
              <a:graphicFrameLocks noChangeAspect="1"/>
            </wp:cNvGraphicFramePr>
            <a:graphic>
              <a:graphicData uri="http://schemas.openxmlformats.org/drawingml/2006/picture">
                <pic:pic>
                  <pic:nvPicPr>
                    <pic:cNvPr id="0" name="S 3528-2025 karta knärot.png"/>
                    <pic:cNvPicPr/>
                  </pic:nvPicPr>
                  <pic:blipFill>
                    <a:blip r:embed="rId17"/>
                    <a:stretch>
                      <a:fillRect/>
                    </a:stretch>
                  </pic:blipFill>
                  <pic:spPr>
                    <a:xfrm>
                      <a:off x="0" y="0"/>
                      <a:ext cx="5486400" cy="4208125"/>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6307486, E 588812 i SWEREF 99 TM.</w:t>
      </w:r>
    </w:p>
    <w:p>
      <w:r>
        <w:rPr>
          <w:b/>
        </w:rPr>
        <w:t>Pilgrimsfalk (VU, §4)</w:t>
      </w:r>
      <w:r>
        <w:t xml:space="preserve"> är rödlistad som sårbar och är upptagen i bilaga 1 EU:s fågeldirektiv. Den har minskat med 17.5 (15–20) % under de senaste 18 åren och minskningstakten överstiger gränsvärdet för sårbar (VU). Pilgrimsfalken häckar i branta klippväggar, där boet läggs på en öppen, svåråtkomlig klipphylla. Många av de bebodda klippstupen gränsar till skogsmark. Markhäckningar förekommer relativt frekvent på stora, blöta myrar i Norrbottens län. Tidigare var häckningar i risbon, framför allt i fiskgjusebon, förhållandevis vanligt men förekommer numera sällan. Lämna en skyddszon med träd mot häckningsplatsen (klippbranten), så att häckningsmiljön behålls oförändrad. Eventuell skog i själva rasbranten lämnas orörd. Vid häckning i risbon, avstå från avverkning inom 100 meter från boet.  Hänsyn bör tas även till äldre, dokumenterade häckningsplatser även om de för tillfället inte är i bruk (SLU Artdatabanken, 2026; Skogsstyrelsen, 2016).</w:t>
      </w:r>
    </w:p>
    <w:p>
      <w:r>
        <w:rPr>
          <w:b/>
        </w:rPr>
        <w:t>Tårticka (VU)</w:t>
      </w:r>
      <w:r>
        <w:t xml:space="preserve"> är en exklusiv signalart som visar på gamla ekar och lövskogsområden med gamla träd som har höga naturvärden. Den hotas av att olikåldriga bestånd av ek eller ekblandskog avverkas och ersätts med likåldriga barr- eller lövbestånd. Arten är placerad högst upp i Skogsstyrelsens värdepyramid för bedömning av skog med höga naturvärden. Tårticka är typisk art för </w:t>
      </w:r>
      <w:r>
        <w:rPr>
          <w:i/>
        </w:rPr>
        <w:t>9160 Näringsrik ekskog</w:t>
      </w:r>
      <w:r>
        <w:t xml:space="preserve"> (SLU Artdatabanken, 2024; Nitare &amp; Skogsstyrelsen, 2019).</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Matt pricklav (NT)</w:t>
      </w:r>
      <w:r>
        <w:t xml:space="preserve"> växer framför allt på grov och hård bark av gamla jätteekar och förekommer enbart på gamla träd inom områden med jätteträd. Lokalerna bör skyddas. Det finns två sällsynta lavparasiter som är knutna till matt pricklav. Pricklavstofs (DD) som växer på den matta pricklavens bål samt lavsammetsmögel (DD) som i stället växer på apothecierna av den matta pricklaven (SLU Artdatabanken, 2026;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Sälgsandbi </w:t>
      </w:r>
      <w:r>
        <w:t xml:space="preserve">är typisk art för </w:t>
      </w:r>
      <w:r>
        <w:rPr>
          <w:i/>
        </w:rPr>
        <w:t>9060 Åsbarrskog</w:t>
      </w:r>
      <w:r>
        <w:t>.</w:t>
      </w:r>
      <w:r>
        <w:rPr>
          <w:i/>
        </w:rPr>
        <w:t xml:space="preserve"> </w:t>
      </w:r>
      <w:r>
        <w:t>Sälgsandbiet boparasiteras av sälggökbi</w:t>
      </w:r>
      <w:r>
        <w:rPr>
          <w:i/>
        </w:rPr>
        <w:t xml:space="preserve"> </w:t>
      </w:r>
      <w:r>
        <w:t>(SLU Artdatabanken, 2025).</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51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69 naturvårdsarter varav 48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